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E1FF6" w14:textId="67DC5925" w:rsidR="00FB0523" w:rsidRPr="00BF461E" w:rsidRDefault="00FB0523" w:rsidP="00BE2BC6">
      <w:pPr>
        <w:widowControl w:val="0"/>
        <w:autoSpaceDE w:val="0"/>
        <w:autoSpaceDN w:val="0"/>
        <w:adjustRightInd w:val="0"/>
        <w:spacing w:before="120" w:after="120" w:line="480" w:lineRule="exact"/>
        <w:jc w:val="center"/>
        <w:rPr>
          <w:b/>
          <w:u w:val="single"/>
        </w:rPr>
      </w:pPr>
      <w:r w:rsidRPr="00BF461E">
        <w:rPr>
          <w:b/>
          <w:bCs/>
          <w:u w:val="single"/>
        </w:rPr>
        <w:t xml:space="preserve">Allegato </w:t>
      </w:r>
      <w:r w:rsidR="00E53A9A" w:rsidRPr="00BF461E">
        <w:rPr>
          <w:b/>
          <w:bCs/>
          <w:u w:val="single"/>
        </w:rPr>
        <w:t>F</w:t>
      </w:r>
      <w:r w:rsidR="00541924" w:rsidRPr="00BF461E">
        <w:rPr>
          <w:b/>
          <w:bCs/>
          <w:u w:val="single"/>
        </w:rPr>
        <w:t xml:space="preserve">: </w:t>
      </w:r>
      <w:r w:rsidRPr="00BF461E">
        <w:rPr>
          <w:b/>
          <w:u w:val="single"/>
        </w:rPr>
        <w:t xml:space="preserve">modello </w:t>
      </w:r>
      <w:r w:rsidR="00BE2BC6" w:rsidRPr="00BF461E">
        <w:rPr>
          <w:b/>
          <w:u w:val="single"/>
        </w:rPr>
        <w:t>d</w:t>
      </w:r>
      <w:r w:rsidRPr="00BF461E">
        <w:rPr>
          <w:b/>
          <w:u w:val="single"/>
        </w:rPr>
        <w:t>ichiarazioni amministrative e negoziali</w:t>
      </w:r>
    </w:p>
    <w:p w14:paraId="46AD0778" w14:textId="77777777" w:rsidR="005C6EFA" w:rsidRPr="00440422" w:rsidRDefault="005C6EFA" w:rsidP="00BE2BC6">
      <w:pPr>
        <w:widowControl w:val="0"/>
        <w:autoSpaceDE w:val="0"/>
        <w:autoSpaceDN w:val="0"/>
        <w:adjustRightInd w:val="0"/>
        <w:spacing w:before="120" w:after="120" w:line="480" w:lineRule="exact"/>
        <w:jc w:val="center"/>
        <w:rPr>
          <w:b/>
        </w:rPr>
      </w:pPr>
    </w:p>
    <w:p w14:paraId="77045E08" w14:textId="77777777" w:rsidR="005C6EFA" w:rsidRDefault="005C6EFA" w:rsidP="005C6EFA">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p>
    <w:p w14:paraId="7D985822" w14:textId="6BA4ECC1" w:rsidR="005C6EFA" w:rsidRDefault="005C6EFA" w:rsidP="005C6EFA">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9C46C2">
        <w:rPr>
          <w:rFonts w:ascii="Times New Roman" w:hAnsi="Times New Roman"/>
          <w:b w:val="0"/>
          <w:caps/>
          <w:sz w:val="24"/>
          <w:szCs w:val="24"/>
        </w:rPr>
        <w:t xml:space="preserve">appalto di lavori ai sensi dell’art.59, comma 1, terzo periodo, d.lgs. 50/16 </w:t>
      </w:r>
      <w:r w:rsidR="00E53A9A">
        <w:rPr>
          <w:rFonts w:ascii="Times New Roman" w:hAnsi="Times New Roman"/>
          <w:b w:val="0"/>
          <w:caps/>
          <w:sz w:val="24"/>
          <w:szCs w:val="24"/>
        </w:rPr>
        <w:t>AVENTE</w:t>
      </w:r>
      <w:r w:rsidRPr="009C46C2">
        <w:rPr>
          <w:rFonts w:ascii="Times New Roman" w:hAnsi="Times New Roman"/>
          <w:b w:val="0"/>
          <w:caps/>
          <w:sz w:val="24"/>
          <w:szCs w:val="24"/>
        </w:rPr>
        <w:t xml:space="preserve"> per oggetto l'esecuzione a corpo di tutte le opere e provviste occorrenti per realizzare e dare completamente ultimati i lavori di “Realizzazione di un nuovo polo scolastico a Busca (CN), comprendente la scuola primaria, la scuola secondaria di primo grado e la palestra a servizio”, in Busca (CN), quali risultanti dal Progetto Esecutivo redatto in conformità all’art. 23, comma 8, d.lgs. 50/16, nonché agli artt. 33 e ss., dpr 207/10, validato dal RUP ai sensi dell’art. 26, comma 8, d.lgs. 50/16, approvato dal Comune </w:t>
      </w:r>
      <w:r w:rsidR="00E53A9A">
        <w:rPr>
          <w:rFonts w:ascii="Times New Roman" w:hAnsi="Times New Roman"/>
          <w:b w:val="0"/>
          <w:caps/>
          <w:sz w:val="24"/>
          <w:szCs w:val="24"/>
        </w:rPr>
        <w:t xml:space="preserve">DI BUSCA </w:t>
      </w:r>
      <w:r w:rsidRPr="009C46C2">
        <w:rPr>
          <w:rFonts w:ascii="Times New Roman" w:hAnsi="Times New Roman"/>
          <w:b w:val="0"/>
          <w:caps/>
          <w:sz w:val="24"/>
          <w:szCs w:val="24"/>
        </w:rPr>
        <w:t>e posto a base di gara e come dettagliatamente descritte nel capitolato speciale di appalto-parte normativa e parte tecnica, parte integrante del progetto esecutivo posto a base di gara.</w:t>
      </w:r>
    </w:p>
    <w:p w14:paraId="5879FAAC" w14:textId="77777777" w:rsidR="00992620" w:rsidRPr="00440422" w:rsidRDefault="00992620" w:rsidP="00BE2BC6">
      <w:pPr>
        <w:widowControl w:val="0"/>
        <w:autoSpaceDE w:val="0"/>
        <w:autoSpaceDN w:val="0"/>
        <w:adjustRightInd w:val="0"/>
        <w:spacing w:before="120" w:after="120" w:line="480" w:lineRule="exact"/>
        <w:jc w:val="center"/>
        <w:rPr>
          <w:b/>
        </w:rPr>
      </w:pPr>
    </w:p>
    <w:p w14:paraId="5A928F18" w14:textId="77777777" w:rsidR="003F6C81" w:rsidRPr="00440422" w:rsidRDefault="003F6C81" w:rsidP="003F6C81">
      <w:pPr>
        <w:widowControl w:val="0"/>
        <w:autoSpaceDE w:val="0"/>
        <w:autoSpaceDN w:val="0"/>
        <w:adjustRightInd w:val="0"/>
        <w:spacing w:before="120" w:after="120" w:line="480" w:lineRule="exact"/>
        <w:jc w:val="both"/>
      </w:pPr>
      <w:r w:rsidRPr="00440422">
        <w:rPr>
          <w:b/>
          <w:bCs/>
          <w:u w:val="single"/>
        </w:rPr>
        <w:t xml:space="preserve">Dichiarazione </w:t>
      </w:r>
      <w:r w:rsidR="00D96461">
        <w:rPr>
          <w:b/>
          <w:bCs/>
          <w:u w:val="single"/>
        </w:rPr>
        <w:t xml:space="preserve">amministrative e </w:t>
      </w:r>
      <w:r w:rsidRPr="00440422">
        <w:rPr>
          <w:b/>
          <w:bCs/>
          <w:u w:val="single"/>
        </w:rPr>
        <w:t>a valenza negoziale</w:t>
      </w:r>
      <w:r w:rsidRPr="00440422">
        <w:t xml:space="preserve"> sottoscritta digitalmente e attestante:</w:t>
      </w:r>
    </w:p>
    <w:p w14:paraId="43887A2A" w14:textId="77777777" w:rsidR="002747F5" w:rsidRDefault="002747F5" w:rsidP="002747F5">
      <w:pPr>
        <w:widowControl w:val="0"/>
        <w:autoSpaceDE w:val="0"/>
        <w:autoSpaceDN w:val="0"/>
        <w:adjustRightInd w:val="0"/>
        <w:spacing w:before="120" w:after="120" w:line="480" w:lineRule="exact"/>
        <w:jc w:val="both"/>
      </w:pPr>
      <w:r>
        <w:t>a)</w:t>
      </w:r>
      <w:r>
        <w:tab/>
        <w:t>di non trovarsi nelle condizioni previste dall’art. 48, commi 9 e 10 del d.lgs. 50/16, qualora l’operatore partecipi alla procedura ai sensi dell’art. 45, comma 2, lett. d), e), f), g) del d.lgs. 50/16;</w:t>
      </w:r>
    </w:p>
    <w:p w14:paraId="65C36D0E" w14:textId="77777777" w:rsidR="002747F5" w:rsidRDefault="002747F5" w:rsidP="002747F5">
      <w:pPr>
        <w:widowControl w:val="0"/>
        <w:autoSpaceDE w:val="0"/>
        <w:autoSpaceDN w:val="0"/>
        <w:adjustRightInd w:val="0"/>
        <w:spacing w:before="120" w:after="120" w:line="480" w:lineRule="exact"/>
        <w:jc w:val="both"/>
      </w:pPr>
      <w:r>
        <w:t>b)</w:t>
      </w:r>
      <w:r>
        <w:tab/>
        <w:t>l’osservanza all’interno della propria azienda degli obblighi di sicurezza previsti dalla vigente normativa;</w:t>
      </w:r>
    </w:p>
    <w:p w14:paraId="153B9D16" w14:textId="77777777" w:rsidR="002747F5" w:rsidRDefault="002747F5" w:rsidP="002747F5">
      <w:pPr>
        <w:widowControl w:val="0"/>
        <w:autoSpaceDE w:val="0"/>
        <w:autoSpaceDN w:val="0"/>
        <w:adjustRightInd w:val="0"/>
        <w:spacing w:before="120" w:after="120" w:line="480" w:lineRule="exact"/>
        <w:jc w:val="both"/>
      </w:pPr>
      <w:r>
        <w:t>c)</w:t>
      </w:r>
      <w:r>
        <w:tab/>
        <w:t>la piena ed esatta cognizione di tutti i documenti di gara e l’accettazione, senza condizione o riserva alcuna, di tutte le norme e disposizioni contenute nel bando di gara, nel disciplinare e nei documenti di gara;</w:t>
      </w:r>
    </w:p>
    <w:p w14:paraId="2B061728" w14:textId="77777777" w:rsidR="002747F5" w:rsidRDefault="002747F5" w:rsidP="002747F5">
      <w:pPr>
        <w:widowControl w:val="0"/>
        <w:autoSpaceDE w:val="0"/>
        <w:autoSpaceDN w:val="0"/>
        <w:adjustRightInd w:val="0"/>
        <w:spacing w:before="120" w:after="120" w:line="480" w:lineRule="exact"/>
        <w:jc w:val="both"/>
      </w:pPr>
      <w:r>
        <w:t>d)</w:t>
      </w:r>
      <w:r>
        <w:tab/>
        <w:t>di essere informato, ai sensi e per gli effetti del d.lgs. 196/03 e del d.lgs. 101/18 di armonizzazione delle regole sulla privacy al Regolamento UE 2016/679, che i dati personali raccolti saranno trattati, anche con strumenti informatici, esclusivamente nell’ambito del procedimento nel quale le dichiarazioni vengono rese;</w:t>
      </w:r>
    </w:p>
    <w:p w14:paraId="23B31BEB" w14:textId="77777777" w:rsidR="002747F5" w:rsidRDefault="002747F5" w:rsidP="002747F5">
      <w:pPr>
        <w:widowControl w:val="0"/>
        <w:autoSpaceDE w:val="0"/>
        <w:autoSpaceDN w:val="0"/>
        <w:adjustRightInd w:val="0"/>
        <w:spacing w:before="120" w:after="120" w:line="480" w:lineRule="exact"/>
        <w:jc w:val="both"/>
      </w:pPr>
      <w:r>
        <w:t>e)</w:t>
      </w:r>
      <w:r>
        <w:tab/>
        <w:t xml:space="preserve">in caso di aggiudicazione, di obbligarsi a rimborsare entro 60 gg dalla aggiudicazione </w:t>
      </w:r>
      <w:r>
        <w:lastRenderedPageBreak/>
        <w:t>definitiva alla stazione appaltante o al Comune i costi sostenuti per le spese per la pubblicazione obbligatoria degli avvisi e dei bandi di gara, ivi compresa quella sulla GURI, ai sensi dell’art.216, comma 11, primo periodo, d.lgs. 50/16 e dell’art. 5, comma 2, Decreto ministeriale infrastrutture e trasporti del 2 dicembre 2016 e ammontanti a presunti max € 10.000,00 + iva;</w:t>
      </w:r>
    </w:p>
    <w:p w14:paraId="2942DDAA" w14:textId="77777777" w:rsidR="002747F5" w:rsidRDefault="002747F5" w:rsidP="002747F5">
      <w:pPr>
        <w:widowControl w:val="0"/>
        <w:autoSpaceDE w:val="0"/>
        <w:autoSpaceDN w:val="0"/>
        <w:adjustRightInd w:val="0"/>
        <w:spacing w:before="120" w:after="120" w:line="480" w:lineRule="exact"/>
        <w:jc w:val="both"/>
      </w:pPr>
      <w:r>
        <w:t>f)</w:t>
      </w:r>
      <w:r>
        <w:tab/>
        <w:t xml:space="preserve">di accettare, senza eccezioni e/o riserve di eseguire i lavori a partire dalla consegna anticipata nelle more della stipula del contratto, ricorrendone i presupposti di cui all’art. 32, comma 8, d.lgs. 50/16; </w:t>
      </w:r>
    </w:p>
    <w:p w14:paraId="053E8DB1" w14:textId="77777777" w:rsidR="002747F5" w:rsidRDefault="002747F5" w:rsidP="002747F5">
      <w:pPr>
        <w:widowControl w:val="0"/>
        <w:autoSpaceDE w:val="0"/>
        <w:autoSpaceDN w:val="0"/>
        <w:adjustRightInd w:val="0"/>
        <w:spacing w:before="120" w:after="120" w:line="480" w:lineRule="exact"/>
        <w:jc w:val="both"/>
      </w:pPr>
      <w:r>
        <w:t>g)</w:t>
      </w:r>
      <w:r>
        <w:tab/>
        <w:t>di impegnarsi, in caso di aggiudicazione della procedura, ad applicare al personale impiegato nell’esecuzione delle opere tutte le norme contenute nel contratto collettivo nazionale di lavoro applicabile in ragione del settore e della zona in cui deve essere eseguito l’appalto, stipulato dalle associazioni dei datori e dei prestatori di lavoro comparativamente più rappresentative sul piano nazionale, nonché nei contratti che disciplinano attività connesse all’oggetto dell’appalto, svolte dall’impresa in maniera prevalente, nel rispetto dell’articolo 30, commi 3 e 4, del d.lgs. 50/16, dell’art.51 del decreto legislativo 15 giugno 2015, n. 81 e della nota n. 14775 del 26 luglio 2016 del Ministero del lavoro e delle politiche sociali avente ad oggetto: “Applicazione CCNL nell’ambito degli appalti pubblici”;</w:t>
      </w:r>
    </w:p>
    <w:p w14:paraId="4BCE64FD" w14:textId="77777777" w:rsidR="002747F5" w:rsidRDefault="002747F5" w:rsidP="002747F5">
      <w:pPr>
        <w:widowControl w:val="0"/>
        <w:autoSpaceDE w:val="0"/>
        <w:autoSpaceDN w:val="0"/>
        <w:adjustRightInd w:val="0"/>
        <w:spacing w:before="120" w:after="120" w:line="480" w:lineRule="exact"/>
        <w:jc w:val="both"/>
      </w:pPr>
      <w:r>
        <w:t>h)</w:t>
      </w:r>
      <w:r>
        <w:tab/>
        <w:t xml:space="preserve">di conoscere e accettare: </w:t>
      </w:r>
    </w:p>
    <w:p w14:paraId="480525C3" w14:textId="77777777" w:rsidR="002747F5" w:rsidRDefault="002747F5" w:rsidP="002747F5">
      <w:pPr>
        <w:widowControl w:val="0"/>
        <w:autoSpaceDE w:val="0"/>
        <w:autoSpaceDN w:val="0"/>
        <w:adjustRightInd w:val="0"/>
        <w:spacing w:before="120" w:after="120" w:line="480" w:lineRule="exact"/>
        <w:jc w:val="both"/>
      </w:pPr>
      <w:r>
        <w:t>a.</w:t>
      </w:r>
      <w:r>
        <w:tab/>
        <w:t xml:space="preserve">tutte le norme e disposizioni che regolano l’appalto, comprese quelle contenute nel bando di gara, nel disciplinare di gara e nello schema di contratto, senza condizione, eccezione e riserva alcuna; </w:t>
      </w:r>
    </w:p>
    <w:p w14:paraId="08867A3E" w14:textId="77777777" w:rsidR="002747F5" w:rsidRDefault="002747F5" w:rsidP="002747F5">
      <w:pPr>
        <w:widowControl w:val="0"/>
        <w:autoSpaceDE w:val="0"/>
        <w:autoSpaceDN w:val="0"/>
        <w:adjustRightInd w:val="0"/>
        <w:spacing w:before="120" w:after="120" w:line="480" w:lineRule="exact"/>
        <w:jc w:val="both"/>
      </w:pPr>
      <w:r>
        <w:t>b.</w:t>
      </w:r>
      <w:r>
        <w:tab/>
        <w:t xml:space="preserve">tutte le circostanze generali e particolari che possono aver influito sulla determinazione dei prezzi e delle condizioni contrattuali e che possono influire sull’esecuzione dell’appalto, avendone presa piena conoscenza; </w:t>
      </w:r>
    </w:p>
    <w:p w14:paraId="2A0C4C2E" w14:textId="77777777" w:rsidR="002747F5" w:rsidRDefault="002747F5" w:rsidP="002747F5">
      <w:pPr>
        <w:widowControl w:val="0"/>
        <w:autoSpaceDE w:val="0"/>
        <w:autoSpaceDN w:val="0"/>
        <w:adjustRightInd w:val="0"/>
        <w:spacing w:before="120" w:after="120" w:line="480" w:lineRule="exact"/>
        <w:jc w:val="both"/>
      </w:pPr>
      <w:r>
        <w:t>c.</w:t>
      </w:r>
      <w:r>
        <w:tab/>
        <w:t xml:space="preserve">di avere effettuato una verifica e di avere accertato l’esistenza e la reperibilità sul mercato dei materiali e della mano d’opera necessaria per l’esecuzione dei lavori in relazione ai tempi previsti per l’esecuzione degli stessi, nonché della disponibilità di attrezzature adeguate all’entità e alla tipologia e categoria di lavori in appalto e di avere giudicato i prezzi medesimi, nel loro complesso, equi e remunerativi, anche in considerazione degli elementi che influiscono sia sul costo </w:t>
      </w:r>
      <w:r>
        <w:lastRenderedPageBreak/>
        <w:t xml:space="preserve">dei materiali sia sul costo della mano d’opera, dei noli e dei trasporti e tali da consentire l'offerta che sta per fare e l’esecuzione dei lavori a perfetta regola d’arte; </w:t>
      </w:r>
    </w:p>
    <w:p w14:paraId="34D34845" w14:textId="77777777" w:rsidR="002747F5" w:rsidRDefault="002747F5" w:rsidP="002747F5">
      <w:pPr>
        <w:widowControl w:val="0"/>
        <w:autoSpaceDE w:val="0"/>
        <w:autoSpaceDN w:val="0"/>
        <w:adjustRightInd w:val="0"/>
        <w:spacing w:before="120" w:after="120" w:line="480" w:lineRule="exact"/>
        <w:jc w:val="both"/>
      </w:pPr>
      <w:r>
        <w:t>i)</w:t>
      </w:r>
      <w:r>
        <w:tab/>
        <w:t xml:space="preserve">di conoscere e accettare tutte le norme e disposizioni contenute nel capitolato speciale d’appalto, nel piano di sicurezza e coordinamento di cui all’art. 100 del d.lgs. 81/08, negli elaborati grafici, descrittivi ed economici del progetto esecutivo di cui agli artt. 23, del d.lgs. 50/16, e 33 e </w:t>
      </w:r>
      <w:proofErr w:type="spellStart"/>
      <w:r>
        <w:t>ss</w:t>
      </w:r>
      <w:proofErr w:type="spellEnd"/>
      <w:r>
        <w:t xml:space="preserve">, del dpr. n. 207/10 posto a base di gara e di averne valutato l’influenza e gli oneri conseguenti sull’andamento e sul costo dei lavori, e pertanto di: </w:t>
      </w:r>
    </w:p>
    <w:p w14:paraId="28884474" w14:textId="77777777" w:rsidR="002747F5" w:rsidRDefault="002747F5" w:rsidP="002747F5">
      <w:pPr>
        <w:widowControl w:val="0"/>
        <w:autoSpaceDE w:val="0"/>
        <w:autoSpaceDN w:val="0"/>
        <w:adjustRightInd w:val="0"/>
        <w:spacing w:before="120" w:after="120" w:line="480" w:lineRule="exact"/>
        <w:jc w:val="both"/>
      </w:pPr>
      <w:r>
        <w:t>a.</w:t>
      </w:r>
      <w:r>
        <w:tab/>
        <w:t xml:space="preserve">avere esaminato il capitolato speciale d’appalto; </w:t>
      </w:r>
    </w:p>
    <w:p w14:paraId="0EB6D143" w14:textId="77777777" w:rsidR="002747F5" w:rsidRDefault="002747F5" w:rsidP="002747F5">
      <w:pPr>
        <w:widowControl w:val="0"/>
        <w:autoSpaceDE w:val="0"/>
        <w:autoSpaceDN w:val="0"/>
        <w:adjustRightInd w:val="0"/>
        <w:spacing w:before="120" w:after="120" w:line="480" w:lineRule="exact"/>
        <w:jc w:val="both"/>
      </w:pPr>
      <w:r>
        <w:t>b.</w:t>
      </w:r>
      <w:r>
        <w:tab/>
        <w:t xml:space="preserve">avere esaminato tutti gli elaborati grafici, descrittivi </w:t>
      </w:r>
      <w:proofErr w:type="gramStart"/>
      <w:r>
        <w:t>e</w:t>
      </w:r>
      <w:proofErr w:type="gramEnd"/>
      <w:r>
        <w:t xml:space="preserve"> economici del progetto esecutivo che, parte integrante e sostanziale dell’appalto, è posto a base di gara ritenendolo esauriente e tale quindi da consentire una ponderata formulazione della propria offerta, che si intende comprensiva di tutti i costi e/o gli oneri diretti ed indiretti derivanti dalla corretta esecuzione dei lavori e forniture oggetto dell’appalto; </w:t>
      </w:r>
    </w:p>
    <w:p w14:paraId="1686B6E2" w14:textId="77777777" w:rsidR="002747F5" w:rsidRDefault="002747F5" w:rsidP="002747F5">
      <w:pPr>
        <w:widowControl w:val="0"/>
        <w:autoSpaceDE w:val="0"/>
        <w:autoSpaceDN w:val="0"/>
        <w:adjustRightInd w:val="0"/>
        <w:spacing w:before="120" w:after="120" w:line="480" w:lineRule="exact"/>
        <w:jc w:val="both"/>
      </w:pPr>
      <w:r>
        <w:t>c.</w:t>
      </w:r>
      <w:r>
        <w:tab/>
        <w:t xml:space="preserve">aver preso piena conoscenza delle opere da eseguire; </w:t>
      </w:r>
    </w:p>
    <w:p w14:paraId="4922B0C7" w14:textId="77777777" w:rsidR="002747F5" w:rsidRDefault="002747F5" w:rsidP="002747F5">
      <w:pPr>
        <w:widowControl w:val="0"/>
        <w:autoSpaceDE w:val="0"/>
        <w:autoSpaceDN w:val="0"/>
        <w:adjustRightInd w:val="0"/>
        <w:spacing w:before="120" w:after="120" w:line="480" w:lineRule="exact"/>
        <w:jc w:val="both"/>
      </w:pPr>
      <w:r>
        <w:t>d.</w:t>
      </w:r>
      <w:r>
        <w:tab/>
        <w:t xml:space="preserve">aver basato l’offerta su di una propria autonoma valutazione della quantità e qualità della prestazione ed essere pertanto consapevole che nessun maggior onere potrà essere richiesto e riconosciuto per difformità rispetto alle previsioni e indicazioni contenute nel progetto esecutivo; </w:t>
      </w:r>
    </w:p>
    <w:p w14:paraId="52E4905E" w14:textId="77777777" w:rsidR="002747F5" w:rsidRDefault="002747F5" w:rsidP="002747F5">
      <w:pPr>
        <w:widowControl w:val="0"/>
        <w:autoSpaceDE w:val="0"/>
        <w:autoSpaceDN w:val="0"/>
        <w:adjustRightInd w:val="0"/>
        <w:spacing w:before="120" w:after="120" w:line="480" w:lineRule="exact"/>
        <w:jc w:val="both"/>
      </w:pPr>
      <w:r>
        <w:t>e.</w:t>
      </w:r>
      <w:r>
        <w:tab/>
        <w:t xml:space="preserve">aver tenuto conto che i lavori devono essere eseguiti in un arco temporale che include possibili condizioni climatiche sfavorevoli che impongono l’adozione di idonee soluzioni di esecuzione per il rispetto dei tempi contrattuali; </w:t>
      </w:r>
    </w:p>
    <w:p w14:paraId="25834A54" w14:textId="77777777" w:rsidR="002747F5" w:rsidRDefault="002747F5" w:rsidP="002747F5">
      <w:pPr>
        <w:widowControl w:val="0"/>
        <w:autoSpaceDE w:val="0"/>
        <w:autoSpaceDN w:val="0"/>
        <w:adjustRightInd w:val="0"/>
        <w:spacing w:before="120" w:after="120" w:line="480" w:lineRule="exact"/>
        <w:jc w:val="both"/>
      </w:pPr>
      <w:r>
        <w:t>f.</w:t>
      </w:r>
      <w:r>
        <w:tab/>
        <w:t xml:space="preserve">aver tenuto conto che il rispetto dei tempi contrattuali richiede che i lavori si possano svolgere anche nei giorni non lavorativi; </w:t>
      </w:r>
    </w:p>
    <w:p w14:paraId="38C74CBC" w14:textId="77777777" w:rsidR="002747F5" w:rsidRDefault="002747F5" w:rsidP="002747F5">
      <w:pPr>
        <w:widowControl w:val="0"/>
        <w:autoSpaceDE w:val="0"/>
        <w:autoSpaceDN w:val="0"/>
        <w:adjustRightInd w:val="0"/>
        <w:spacing w:before="120" w:after="120" w:line="480" w:lineRule="exact"/>
        <w:jc w:val="both"/>
      </w:pPr>
      <w:r>
        <w:t>g.</w:t>
      </w:r>
      <w:r>
        <w:tab/>
        <w:t xml:space="preserve">avere preso visione del piano di sicurezza e coordinamento del cantiere; </w:t>
      </w:r>
    </w:p>
    <w:p w14:paraId="50D7A86E" w14:textId="77777777" w:rsidR="002747F5" w:rsidRDefault="002747F5" w:rsidP="002747F5">
      <w:pPr>
        <w:widowControl w:val="0"/>
        <w:autoSpaceDE w:val="0"/>
        <w:autoSpaceDN w:val="0"/>
        <w:adjustRightInd w:val="0"/>
        <w:spacing w:before="120" w:after="120" w:line="480" w:lineRule="exact"/>
        <w:jc w:val="both"/>
      </w:pPr>
      <w:r>
        <w:t>h.</w:t>
      </w:r>
      <w:r>
        <w:tab/>
        <w:t xml:space="preserve">aver attentamente visitato il sito interessato dai lavori e di averne accertato tutte le circostanze generali e particolari nonché le condizioni che possono influire sulla determinazione della propria offerta quali le condizioni di viabilità, di accesso, di impianto del cantiere e le condizioni del suolo su cui dovranno eseguirsi i lavori e delle infrastrutture limitrofe presenti; </w:t>
      </w:r>
    </w:p>
    <w:p w14:paraId="7C655F85" w14:textId="77777777" w:rsidR="002747F5" w:rsidRDefault="002747F5" w:rsidP="002747F5">
      <w:pPr>
        <w:widowControl w:val="0"/>
        <w:autoSpaceDE w:val="0"/>
        <w:autoSpaceDN w:val="0"/>
        <w:adjustRightInd w:val="0"/>
        <w:spacing w:before="120" w:after="120" w:line="480" w:lineRule="exact"/>
        <w:jc w:val="both"/>
      </w:pPr>
      <w:r>
        <w:lastRenderedPageBreak/>
        <w:t>i.</w:t>
      </w:r>
      <w:r>
        <w:tab/>
        <w:t xml:space="preserve">avere effettuato la ricognizione del luogo e del comprensorio, con particolare riferimento all’esistenza di discariche autorizzate a recepire i materiali anche in funzione delle lavorazioni adottate; </w:t>
      </w:r>
    </w:p>
    <w:p w14:paraId="580E702B" w14:textId="77777777" w:rsidR="002747F5" w:rsidRDefault="002747F5" w:rsidP="002747F5">
      <w:pPr>
        <w:widowControl w:val="0"/>
        <w:autoSpaceDE w:val="0"/>
        <w:autoSpaceDN w:val="0"/>
        <w:adjustRightInd w:val="0"/>
        <w:spacing w:before="120" w:after="120" w:line="480" w:lineRule="exact"/>
        <w:jc w:val="both"/>
      </w:pPr>
      <w:r>
        <w:t>j.</w:t>
      </w:r>
      <w:r>
        <w:tab/>
        <w:t xml:space="preserve">avere tenuto conto, nella formulazione dell’offerta, dello stato di consistenza dell’area e delle infrastrutture presenti; </w:t>
      </w:r>
    </w:p>
    <w:p w14:paraId="3CF20F64" w14:textId="77777777" w:rsidR="002747F5" w:rsidRDefault="002747F5" w:rsidP="002747F5">
      <w:pPr>
        <w:widowControl w:val="0"/>
        <w:autoSpaceDE w:val="0"/>
        <w:autoSpaceDN w:val="0"/>
        <w:adjustRightInd w:val="0"/>
        <w:spacing w:before="120" w:after="120" w:line="480" w:lineRule="exact"/>
        <w:jc w:val="both"/>
      </w:pPr>
      <w:r>
        <w:t>k.</w:t>
      </w:r>
      <w:r>
        <w:tab/>
        <w:t xml:space="preserve">avere effettuato una verifica della disponibilità della mano d’opera necessaria per l’esecuzione dei lavori nonché della disponibilità di attrezzature adeguate all’entità e alla tipologia e categorie dei lavori in appalto; </w:t>
      </w:r>
    </w:p>
    <w:p w14:paraId="2D454D24" w14:textId="77777777" w:rsidR="002747F5" w:rsidRDefault="002747F5" w:rsidP="002747F5">
      <w:pPr>
        <w:widowControl w:val="0"/>
        <w:autoSpaceDE w:val="0"/>
        <w:autoSpaceDN w:val="0"/>
        <w:adjustRightInd w:val="0"/>
        <w:spacing w:before="120" w:after="120" w:line="480" w:lineRule="exact"/>
        <w:jc w:val="both"/>
      </w:pPr>
      <w:r>
        <w:t>l.</w:t>
      </w:r>
      <w:r>
        <w:tab/>
        <w:t xml:space="preserve">avere preso perfetta conoscenza della natura, dell’entità, della destinazione delle opere da eseguire nonché di avere debitamente valutato le caratteristiche climatiche, le possibilità logistiche, le vie di comunicazione e di accesso al cantiere, le aree di cantiere, la necessità di usare mezzi di trasporto e sollevamento commisurati alle esigenze del cantiere, le ubicazioni di cave di prestito e delle discariche di materiali e di tutte le altre condizioni che possono influire sul costo e sullo svolgimento dei lavori nonché di tutte le circostanze generali e particolari suscettibili di influire sulla determinazione dei prezzi, sulle condizioni contrattuali e sull'esecuzione dei lavori e di avere giudicato i lavori stessi realizzabili, gli elaborati progettuali adeguati ed i prezzi nel loro complesso remunerativi e tali da consentire il ribasso offerto; </w:t>
      </w:r>
    </w:p>
    <w:p w14:paraId="56AD2170" w14:textId="77777777" w:rsidR="002747F5" w:rsidRDefault="002747F5" w:rsidP="002747F5">
      <w:pPr>
        <w:widowControl w:val="0"/>
        <w:autoSpaceDE w:val="0"/>
        <w:autoSpaceDN w:val="0"/>
        <w:adjustRightInd w:val="0"/>
        <w:spacing w:before="120" w:after="120" w:line="480" w:lineRule="exact"/>
        <w:jc w:val="both"/>
      </w:pPr>
      <w:r>
        <w:t>m.</w:t>
      </w:r>
      <w:r>
        <w:tab/>
        <w:t xml:space="preserve">avere preso visione dell’elenco prezzi e di reputarli di mercato e tali da consentire di fare un’offerta a corpo pienamente equa e remunerativa; </w:t>
      </w:r>
    </w:p>
    <w:p w14:paraId="4AE8AAD7" w14:textId="77777777" w:rsidR="002747F5" w:rsidRDefault="002747F5" w:rsidP="002747F5">
      <w:pPr>
        <w:widowControl w:val="0"/>
        <w:autoSpaceDE w:val="0"/>
        <w:autoSpaceDN w:val="0"/>
        <w:adjustRightInd w:val="0"/>
        <w:spacing w:before="120" w:after="120" w:line="480" w:lineRule="exact"/>
        <w:jc w:val="both"/>
      </w:pPr>
      <w:r>
        <w:t>n.</w:t>
      </w:r>
      <w:r>
        <w:tab/>
        <w:t xml:space="preserve">aver tenuto conto, nella formulazione dell’offerta, di tutte le indicazioni fornite nel piano di sicurezza e coordinamento redatto ai sensi dell’art. 100 e </w:t>
      </w:r>
      <w:proofErr w:type="spellStart"/>
      <w:r>
        <w:t>All</w:t>
      </w:r>
      <w:proofErr w:type="spellEnd"/>
      <w:r>
        <w:t>. XV, del d.lgs. 81/08.</w:t>
      </w:r>
    </w:p>
    <w:p w14:paraId="5AEEDC2F" w14:textId="77777777" w:rsidR="002747F5" w:rsidRDefault="002747F5" w:rsidP="002747F5">
      <w:pPr>
        <w:widowControl w:val="0"/>
        <w:autoSpaceDE w:val="0"/>
        <w:autoSpaceDN w:val="0"/>
        <w:adjustRightInd w:val="0"/>
        <w:spacing w:before="120" w:after="120" w:line="480" w:lineRule="exact"/>
        <w:jc w:val="both"/>
      </w:pPr>
      <w:r>
        <w:t>o)</w:t>
      </w:r>
      <w:r>
        <w:tab/>
        <w:t xml:space="preserve">di prendere atto che trattandosi di appalto a corpo, il prezzo convenuto non può essere modificato sulla base della verifica della quantità o della qualità della prestazione e che, prima della formulazione dell'offerta, è stato assolto l'obbligo di controllare le voci e le quantità del computo metrico estimativo attraverso l'esame degli elaborati progettuali e di aver, pertanto, formulato l’offerta medesima tenendo conto di voci e relative quantità eventualmente ritenuti eccedenti o mancanti, e di aver altresì  considerato le eventuali discordanze nelle indicazioni qualitative e quantitative delle voci rilevabili dal computo metrico estimativo nella formulazione dell’offerta, </w:t>
      </w:r>
      <w:r>
        <w:lastRenderedPageBreak/>
        <w:t>che, riferita all’esecuzione dei lavori secondo gli elaborati progettuali posti a base di gara, resta comunque fissa ed invariabile.</w:t>
      </w:r>
    </w:p>
    <w:p w14:paraId="1881EE5D" w14:textId="77777777" w:rsidR="002747F5" w:rsidRDefault="002747F5" w:rsidP="002747F5">
      <w:pPr>
        <w:widowControl w:val="0"/>
        <w:autoSpaceDE w:val="0"/>
        <w:autoSpaceDN w:val="0"/>
        <w:adjustRightInd w:val="0"/>
        <w:spacing w:before="120" w:after="120" w:line="480" w:lineRule="exact"/>
        <w:jc w:val="both"/>
      </w:pPr>
      <w:r>
        <w:t>p)</w:t>
      </w:r>
      <w:r>
        <w:tab/>
        <w:t>di prendere atto e accettare che il Comune si riserva di consegnare all’appaltatore, nel corso dei lavori, disegni integrativi a maggior chiarimento delle opere da eseguire laddove risultassero necessari per la buona riuscita dell’opera e dichiara sin da ora che gli stessi non determineranno modifiche dell’importo contrattuale e/o del cronoprogramma.</w:t>
      </w:r>
    </w:p>
    <w:p w14:paraId="4BA21FDB" w14:textId="77777777" w:rsidR="002747F5" w:rsidRDefault="002747F5" w:rsidP="002747F5">
      <w:pPr>
        <w:widowControl w:val="0"/>
        <w:autoSpaceDE w:val="0"/>
        <w:autoSpaceDN w:val="0"/>
        <w:adjustRightInd w:val="0"/>
        <w:spacing w:before="120" w:after="120" w:line="480" w:lineRule="exact"/>
        <w:jc w:val="both"/>
      </w:pPr>
      <w:r>
        <w:t>q)    tenuto conto della specificità del finanziamento, riconosce e accetta senza riserve e/o eccezioni alcune, che il tempo intercorrente tra la richiesta di somministr</w:t>
      </w:r>
      <w:r w:rsidR="00A04CB3">
        <w:t>azione fatta dal Comune agli Enti finanziatori</w:t>
      </w:r>
      <w:r>
        <w:t xml:space="preserve"> (</w:t>
      </w:r>
      <w:r w:rsidR="00A04CB3">
        <w:t xml:space="preserve">BEI e </w:t>
      </w:r>
      <w:r>
        <w:t xml:space="preserve">Regione Piemonte) e l’effettivo accreditamento delle somme richieste e dovute, non potrà essere computato né ai fini del calcolo di eventuali interessi per ritardato pagamento né ai fini di qualsivoglia richiesta di risarcimento danni, indennizzi o compensi di qualunque tipo, in quanto non imputabile al Comune. Nel caso in cui, nonostante la tempestiva richiesta di somministrazione fatta dal Comune </w:t>
      </w:r>
      <w:r w:rsidR="00A04CB3">
        <w:t>agli Enti finanziatori (BEI e Regione Piemonte)</w:t>
      </w:r>
      <w:r>
        <w:t xml:space="preserve">, </w:t>
      </w:r>
      <w:proofErr w:type="gramStart"/>
      <w:r>
        <w:t xml:space="preserve">l’effettivo </w:t>
      </w:r>
      <w:r w:rsidR="00A04CB3">
        <w:t xml:space="preserve"> </w:t>
      </w:r>
      <w:r>
        <w:t>accreditamento</w:t>
      </w:r>
      <w:proofErr w:type="gramEnd"/>
      <w:r>
        <w:t xml:space="preserve"> delle somme richieste e dovute dovesse superare i 60 gg naturali, spetteranno all’appaltatore gli interessi legali di mora di cui al d.lgs. 231/02, a partire dal 120 giorno dalla adozione/emissione del SAL e purché nel frattempo siano prodotte idonee fatture.</w:t>
      </w:r>
    </w:p>
    <w:p w14:paraId="25ACE5A2" w14:textId="77777777" w:rsidR="00634B6D" w:rsidRPr="00440422" w:rsidRDefault="002747F5" w:rsidP="002747F5">
      <w:pPr>
        <w:widowControl w:val="0"/>
        <w:autoSpaceDE w:val="0"/>
        <w:autoSpaceDN w:val="0"/>
        <w:adjustRightInd w:val="0"/>
        <w:spacing w:before="120" w:after="120" w:line="480" w:lineRule="exact"/>
        <w:jc w:val="both"/>
      </w:pPr>
      <w:r>
        <w:t>r) di non aver concluso ai sensi dell’art. 53 c. 16-ter d.lgs. 165/2001, contratti di lavoro subordinato o autonomo e comunque di non aver attribuito incarichi a ex dipendenti della stazione appaltante e/o del Comune di Busca che, negli ultimi tre anni di servizio, hanno esercitato poteri autoritativi o negoziali per conto della  stazione appaltante e/o del Comune di Busca nei propri confronti, nel triennio successivo alla cessazione del rapporto di lavoro dei suddetti soggetti con la stazione appaltante e/o il Comune di Busca; di essere consapevole che la violazione della presente disposizione comporta l’esclusione dalla procedura di gara, la nullità dei contratti e degli incarichi conferiti, l’obbligo di restituzione dei compensi ad essi riferiti e il divieto di contrattare con le pubbliche amministrazioni per i successivi tre anni;</w:t>
      </w:r>
    </w:p>
    <w:p w14:paraId="682101B2" w14:textId="77777777" w:rsidR="00955B8E" w:rsidRDefault="00955B8E" w:rsidP="00955B8E">
      <w:pPr>
        <w:widowControl w:val="0"/>
        <w:autoSpaceDE w:val="0"/>
        <w:autoSpaceDN w:val="0"/>
        <w:adjustRightInd w:val="0"/>
        <w:spacing w:before="120" w:after="120" w:line="480" w:lineRule="exact"/>
        <w:jc w:val="both"/>
      </w:pPr>
      <w:r>
        <w:t>s)  di conoscere e accettare, senza eccezioni, quanto indicato all’Art.3 dello schema di contratto di appalto: Obbligazioni a carico della committente e dell’appaltatore. Contabilizzazione dei lavori. Adempimenti legge 136/10.</w:t>
      </w:r>
    </w:p>
    <w:p w14:paraId="554B0718"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lastRenderedPageBreak/>
        <w:t xml:space="preserve">“L’appaltatore ai sensi del </w:t>
      </w:r>
      <w:proofErr w:type="spellStart"/>
      <w:r w:rsidRPr="00CF4B7D">
        <w:rPr>
          <w:i/>
        </w:rPr>
        <w:t>d.p.c.m</w:t>
      </w:r>
      <w:proofErr w:type="spellEnd"/>
      <w:r w:rsidRPr="00CF4B7D">
        <w:rPr>
          <w:i/>
        </w:rPr>
        <w:t xml:space="preserve">.  187/91, art. 2, assume l’obbligo di comunicare tempestivamente alla committente, in corso d’opera, eventuali intervenute variazioni nella composizione societaria </w:t>
      </w:r>
      <w:proofErr w:type="gramStart"/>
      <w:r w:rsidRPr="00CF4B7D">
        <w:rPr>
          <w:i/>
        </w:rPr>
        <w:t>di  entità</w:t>
      </w:r>
      <w:proofErr w:type="gramEnd"/>
      <w:r w:rsidRPr="00CF4B7D">
        <w:rPr>
          <w:i/>
        </w:rPr>
        <w:t xml:space="preserve">  superiore  al  2%  rispetto  a  quanto comunicato ai sensi dell’art. 1 medesimo </w:t>
      </w:r>
      <w:proofErr w:type="spellStart"/>
      <w:r w:rsidRPr="00CF4B7D">
        <w:rPr>
          <w:i/>
        </w:rPr>
        <w:t>d.p.c.m</w:t>
      </w:r>
      <w:proofErr w:type="spellEnd"/>
      <w:r w:rsidRPr="00CF4B7D">
        <w:rPr>
          <w:i/>
        </w:rPr>
        <w:t xml:space="preserve">. </w:t>
      </w:r>
    </w:p>
    <w:p w14:paraId="3A5C001B"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Ai sensi dell’art. 35, comma 18, d.lgs. 50/16 sarà corrisposta la anticipazione del 20% sull'importo contrattuale, previa richiesta scritta avanzata dall’appaltatore, entro quindici giorni dall'effettivo inizio dei lavori attestato dal RUP. L'erogazione dell'anticipazione è subordinata alla costituzione di garanzia fideiussoria legalizzata da notaio, di importo pari all'anticipazione maggiorato del tasso di interesse legale applicato al periodo necessario al recupero dell'anticipazione secondo il cronoprogramma dei lavori. </w:t>
      </w:r>
    </w:p>
    <w:p w14:paraId="767CE439"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L’appaltatore, riguardo alla anticipazione, tenuto conto della specificità del finanziamento  riconosce e accetta che il tempo intercorrente tra la tempestiva richiesta di somministrazione fatta dal Comune agli Enti finanziatori (BEI e Regione Piemonte) e l’effettivo accreditamento delle somme richieste e dovute, non potrà essere computato né ai fini del calcolo di eventuali interessi per ritardato pagamento né ai fini di qualsivoglia richiesta di risarcimento danni, indennizzi o compensi di qualunque tipo, in quanto non imputabile al Comune. Nel caso in cui nonostante la tempestiva richiesta di somministrazione fatta dal Comune agli Enti finanziatori (BEI e Regione Piemonte) e l’effettivo accreditamento delle somme richieste e dovute dovesse superare i 60 gg naturali, spetteranno all’appaltatore gli interessi legali di mora di cui al d.lgs. 231/02, a partire dal </w:t>
      </w:r>
      <w:proofErr w:type="gramStart"/>
      <w:r w:rsidRPr="00CF4B7D">
        <w:rPr>
          <w:i/>
        </w:rPr>
        <w:t>75</w:t>
      </w:r>
      <w:proofErr w:type="gramEnd"/>
      <w:r w:rsidRPr="00CF4B7D">
        <w:rPr>
          <w:i/>
        </w:rPr>
        <w:t xml:space="preserve"> giorno dall'effettivo inizio dei lavori attestato dal RUP e purché nel frattempo sia prodotta idonea fattura.</w:t>
      </w:r>
    </w:p>
    <w:p w14:paraId="304C456F"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 committente corrisponderà le rate di acconto e la rata di saldo (10% importo contrattuale) secondo le prescrizioni contenute nel </w:t>
      </w:r>
      <w:proofErr w:type="spellStart"/>
      <w:r w:rsidRPr="00CF4B7D">
        <w:rPr>
          <w:i/>
        </w:rPr>
        <w:t>csa</w:t>
      </w:r>
      <w:proofErr w:type="spellEnd"/>
      <w:r w:rsidRPr="00CF4B7D">
        <w:rPr>
          <w:i/>
        </w:rPr>
        <w:t>.</w:t>
      </w:r>
    </w:p>
    <w:p w14:paraId="79108E5C"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Il D.L. redige e trasmette - entro 30 (trenta) giorni dalla accertata maturazione - lo stato di avanzamento lavori (SAL) al RUP, il quale a sua volta emette il relativo certificato di pagamento entro 7 (sette) giorni dal ricevimento del SAL. Il RUP, previe le verifiche di legge (verifica prescritta dal dm 40/2008 “Modalità di attuazione dell'articolo 48-bis del decreto del Presidente della Repubblica 29 settembre 1973, n. 602, recante disposizioni in materia di pagamenti da parte </w:t>
      </w:r>
      <w:r w:rsidRPr="00CF4B7D">
        <w:rPr>
          <w:i/>
        </w:rPr>
        <w:lastRenderedPageBreak/>
        <w:t>delle pubbliche amministrazioni”, verifica DURC on line, verifica regolarità retributiva e effettuazione/versamento ritenute IRPEF lavoratori dell’appaltatore e degli eventuali subappaltatori), invia il certificato di pagamento al Comune per l’emissione degli atti contabili (liquidazione/mandato di pagamento/pagamento) che devono avvenire entro 60 giorni dalla data d</w:t>
      </w:r>
      <w:r>
        <w:rPr>
          <w:i/>
        </w:rPr>
        <w:t xml:space="preserve">i </w:t>
      </w:r>
      <w:r w:rsidRPr="00BF461E">
        <w:rPr>
          <w:i/>
        </w:rPr>
        <w:t>adozione/emissione del SAL, sempre che siano pervenute le fatture dell'appaltatore.</w:t>
      </w:r>
      <w:r w:rsidRPr="00CF4B7D">
        <w:rPr>
          <w:i/>
        </w:rPr>
        <w:t xml:space="preserve"> </w:t>
      </w:r>
    </w:p>
    <w:p w14:paraId="0B3253DD"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Contestualmente ai pagamenti in acconto verrà corrisposta proporzionalmente ad essi la quota parte relativa agli oneri di sicurezza ex art. 100, d.lgs. 81/08 (</w:t>
      </w:r>
      <w:proofErr w:type="gramStart"/>
      <w:r w:rsidRPr="00CF4B7D">
        <w:rPr>
          <w:i/>
        </w:rPr>
        <w:t>Euro</w:t>
      </w:r>
      <w:proofErr w:type="gramEnd"/>
      <w:r w:rsidRPr="00CF4B7D">
        <w:rPr>
          <w:i/>
        </w:rPr>
        <w:t xml:space="preserve"> 195.000,00 oltre iva).</w:t>
      </w:r>
    </w:p>
    <w:p w14:paraId="24C80341"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 liquidazione della rata di saldo pari al 10% dell’importo contrattuale, previa emissione del certificato di pagamento è, in ogni caso, subordinata al deposito della fideiussione a garanzia della rata di saldo, ai sensi del comma 6 del d. lgs. 50/16. Il termine di pagamento della rata di saldo non può superare i 60 (sessanta) giorni dall'emissione del certificato di collaudo provvisorio.  </w:t>
      </w:r>
    </w:p>
    <w:p w14:paraId="28319068"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Per quanto non espressamente previsto dal presente articolo si richiama integralmente quanto stabilito dall’art. 35 del </w:t>
      </w:r>
      <w:proofErr w:type="spellStart"/>
      <w:r w:rsidRPr="00CF4B7D">
        <w:rPr>
          <w:i/>
        </w:rPr>
        <w:t>csa</w:t>
      </w:r>
      <w:proofErr w:type="spellEnd"/>
      <w:r w:rsidRPr="00CF4B7D">
        <w:rPr>
          <w:i/>
        </w:rPr>
        <w:t>.</w:t>
      </w:r>
    </w:p>
    <w:p w14:paraId="107DBDAD"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L’appaltatore, riguardo alle rate di acconto e alla rata di saldo, tenuto conto della specificità del finanziamento  riconosce e accetta che il tempo intercorrente tra la tempestiva richiesta di somministrazione fatta dal Comune agli Enti finanziatori (BEI e Regione Piemonte) e l’effettivo accreditamento delle somme richieste e dovute, non potrà essere computato né ai fini del calcolo di eventuali interessi per ritardato pagamento né ai fini di qualsivoglia richiesta di risarcimento danni, indennizzi o compensi di qualunque tipo, in quanto non imputabile al Comune. Nel caso in cui nonostante la tempestiva richiesta di somministrazione fatta dal Comune agli Enti finanziatori (BEI e Regione Piemonte) e l’effettivo accreditamento delle somme richieste e dovute dovesse superare i 60 gg naturali, spetteranno all’appaltatore gli interessi legali di mora di cui al d.lgs. </w:t>
      </w:r>
      <w:r w:rsidRPr="00BF461E">
        <w:rPr>
          <w:i/>
        </w:rPr>
        <w:t xml:space="preserve">231/02, a partire dal </w:t>
      </w:r>
      <w:proofErr w:type="gramStart"/>
      <w:r w:rsidRPr="00BF461E">
        <w:rPr>
          <w:i/>
        </w:rPr>
        <w:t>120</w:t>
      </w:r>
      <w:proofErr w:type="gramEnd"/>
      <w:r w:rsidRPr="00BF461E">
        <w:rPr>
          <w:i/>
        </w:rPr>
        <w:t xml:space="preserve"> giorno dall’adozione/emissione del SAL e purché nel frattempo siano</w:t>
      </w:r>
      <w:r w:rsidRPr="00CF4B7D">
        <w:rPr>
          <w:i/>
        </w:rPr>
        <w:t xml:space="preserve"> prodotte idonee fatture.</w:t>
      </w:r>
    </w:p>
    <w:p w14:paraId="42E24BCC"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A tutela delle maestranze impiegate in cantiere, l’appaltatore e i subappaltatori durante l’esecuzione dei lavori, dovranno fornire alla committente periodicamente (ogni trimestre), a comprova della regolarità  retributiva dei rispettivi propri lavoratori via via impiegati in cantiere e della regolarità dell’effettuazione e dei  versamenti delle ritenute IRPEF dei propri lavoratori via </w:t>
      </w:r>
      <w:r w:rsidRPr="00CF4B7D">
        <w:rPr>
          <w:i/>
        </w:rPr>
        <w:lastRenderedPageBreak/>
        <w:t xml:space="preserve">via impegnati nella corrispondente fase di esecuzione dei lavori, specifica autodichiarazione sottoscritta con firma autografa dell’appaltatore e di ciascun subappaltatore, rilasciata nelle forme del dpr 445/00 con allegata copia semplice di un documento di identità del sottoscrittore. La autodichiarazione dell’appaltatore e di ciascun subappaltatore andrà di volta in volta asseverata da un consulente del lavoro iscritto all’albo professionale o altro professionista abilitato ai sensi di legge. </w:t>
      </w:r>
    </w:p>
    <w:p w14:paraId="7E82A28E"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L’appaltatore non potrà pretendere dalla committente il pagamento della rata di saldo sino a quando non avrà consegnato tutte le documentazioni e certificazioni previste a suo carico dal </w:t>
      </w:r>
      <w:proofErr w:type="spellStart"/>
      <w:r w:rsidRPr="00CF4B7D">
        <w:rPr>
          <w:i/>
        </w:rPr>
        <w:t>csa</w:t>
      </w:r>
      <w:proofErr w:type="spellEnd"/>
      <w:r w:rsidRPr="00CF4B7D">
        <w:rPr>
          <w:i/>
        </w:rPr>
        <w:t xml:space="preserve">. </w:t>
      </w:r>
    </w:p>
    <w:p w14:paraId="74A30C6E"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La contabilizzazione dei lavori a corpo avverrà secondo le modalità operative contenute nel </w:t>
      </w:r>
      <w:proofErr w:type="spellStart"/>
      <w:r w:rsidRPr="00CF4B7D">
        <w:rPr>
          <w:i/>
        </w:rPr>
        <w:t>csa</w:t>
      </w:r>
      <w:proofErr w:type="spellEnd"/>
      <w:r w:rsidRPr="00CF4B7D">
        <w:rPr>
          <w:i/>
        </w:rPr>
        <w:t xml:space="preserve">. </w:t>
      </w:r>
    </w:p>
    <w:p w14:paraId="2E20D910"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Trattandosi di appalto a corpo, l’importo dei lavori a corpo resterà fisso e invariabile, senza che possa essere invocata dall’appaltatore alcuna </w:t>
      </w:r>
      <w:proofErr w:type="gramStart"/>
      <w:r w:rsidRPr="00CF4B7D">
        <w:rPr>
          <w:i/>
        </w:rPr>
        <w:t>successiva  verifica</w:t>
      </w:r>
      <w:proofErr w:type="gramEnd"/>
      <w:r w:rsidRPr="00CF4B7D">
        <w:rPr>
          <w:i/>
        </w:rPr>
        <w:t xml:space="preserve">  sulla  misura  o  sul  valore attribuito alle quantità e alla qualità di detti lavori.  </w:t>
      </w:r>
    </w:p>
    <w:p w14:paraId="3D341374"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In punto di revisione prezzi si applica l’art. 106, d.lgs. 50/16 qualora ne ricorrano i presupposti. Le variazioni di prezzo in aumento o in diminuzione sono valutate solo per l'eccedenza rispetto al dieci per cento rispetto al prezzo originario e comunque in misura pari alla metà (vedasi art.106, d.lgs. 50/16) e secondo le modalità indicate nel </w:t>
      </w:r>
      <w:proofErr w:type="spellStart"/>
      <w:r w:rsidRPr="00CF4B7D">
        <w:rPr>
          <w:i/>
        </w:rPr>
        <w:t>csa</w:t>
      </w:r>
      <w:proofErr w:type="spellEnd"/>
      <w:r w:rsidRPr="00CF4B7D">
        <w:rPr>
          <w:i/>
        </w:rPr>
        <w:t xml:space="preserve"> art.38.</w:t>
      </w:r>
    </w:p>
    <w:p w14:paraId="11DB1E6A"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Per gli effetti dell’art. 3 del Cap. Gen. e del </w:t>
      </w:r>
      <w:proofErr w:type="spellStart"/>
      <w:r w:rsidRPr="00CF4B7D">
        <w:rPr>
          <w:i/>
        </w:rPr>
        <w:t>csa</w:t>
      </w:r>
      <w:proofErr w:type="spellEnd"/>
      <w:r w:rsidRPr="00CF4B7D">
        <w:rPr>
          <w:i/>
        </w:rPr>
        <w:t xml:space="preserve"> il Comune, nel pagamento, provvederà ad accreditare gli importi spettanti a favore dell’appaltatore presso banca …………</w:t>
      </w:r>
      <w:proofErr w:type="gramStart"/>
      <w:r w:rsidRPr="00CF4B7D">
        <w:rPr>
          <w:i/>
        </w:rPr>
        <w:t>…….</w:t>
      </w:r>
      <w:proofErr w:type="gramEnd"/>
      <w:r w:rsidRPr="00CF4B7D">
        <w:rPr>
          <w:i/>
        </w:rPr>
        <w:t>.….con le seguenti coordinate:  Iban ………………… + nominativo e codice fiscale dei soggetti che sono abilitati a operare:……………………….</w:t>
      </w:r>
    </w:p>
    <w:p w14:paraId="1E2A70BF"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[in caso di raggruppamento temporaneo come segue:</w:t>
      </w:r>
    </w:p>
    <w:p w14:paraId="5D34179E"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a favore dell’Impresa ……………</w:t>
      </w:r>
      <w:proofErr w:type="gramStart"/>
      <w:r w:rsidRPr="00CF4B7D">
        <w:rPr>
          <w:i/>
        </w:rPr>
        <w:t>…….</w:t>
      </w:r>
      <w:proofErr w:type="gramEnd"/>
      <w:r w:rsidRPr="00CF4B7D">
        <w:rPr>
          <w:i/>
        </w:rPr>
        <w:t>., presso banca …………….con le seguenti coordinate:  Iban ………………… + nominativo e codice fiscale dei soggetti che sono abilitati a operare:……………………….</w:t>
      </w:r>
    </w:p>
    <w:p w14:paraId="327AE623"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a favore dell’Impresa ……………</w:t>
      </w:r>
      <w:proofErr w:type="gramStart"/>
      <w:r w:rsidRPr="00CF4B7D">
        <w:rPr>
          <w:i/>
        </w:rPr>
        <w:t>…….</w:t>
      </w:r>
      <w:proofErr w:type="gramEnd"/>
      <w:r w:rsidRPr="00CF4B7D">
        <w:rPr>
          <w:i/>
        </w:rPr>
        <w:t>., presso banca …………….con le seguenti coordinate:  Iban ………………… + nominativo e codice fiscale dei soggetti che sono abilitati a operare:………………………..</w:t>
      </w:r>
    </w:p>
    <w:p w14:paraId="2FDB891C" w14:textId="77777777" w:rsidR="00955B8E" w:rsidRPr="00CF4B7D" w:rsidRDefault="00955B8E" w:rsidP="00955B8E">
      <w:pPr>
        <w:widowControl w:val="0"/>
        <w:autoSpaceDE w:val="0"/>
        <w:autoSpaceDN w:val="0"/>
        <w:adjustRightInd w:val="0"/>
        <w:spacing w:before="120" w:after="120" w:line="480" w:lineRule="exact"/>
        <w:jc w:val="both"/>
        <w:rPr>
          <w:i/>
        </w:rPr>
      </w:pPr>
      <w:proofErr w:type="gramStart"/>
      <w:r w:rsidRPr="00CF4B7D">
        <w:rPr>
          <w:i/>
        </w:rPr>
        <w:lastRenderedPageBreak/>
        <w:t>E’</w:t>
      </w:r>
      <w:proofErr w:type="gramEnd"/>
      <w:r w:rsidRPr="00CF4B7D">
        <w:rPr>
          <w:i/>
        </w:rPr>
        <w:t xml:space="preserve"> espressamente vietato ogni pagamento spettante alle imprese raggruppate a favore dell’impresa capogruppo.]</w:t>
      </w:r>
    </w:p>
    <w:p w14:paraId="1427BA16"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Ai sensi dell’art.3 comma 8 della legge 136/10 </w:t>
      </w:r>
      <w:proofErr w:type="spellStart"/>
      <w:r w:rsidRPr="00CF4B7D">
        <w:rPr>
          <w:i/>
        </w:rPr>
        <w:t>smi</w:t>
      </w:r>
      <w:proofErr w:type="spellEnd"/>
      <w:r w:rsidRPr="00CF4B7D">
        <w:rPr>
          <w:i/>
        </w:rPr>
        <w:t xml:space="preserve"> (“legge 136/10”), l’appaltatore assume l’obbligo di tracciabilità dei flussi finanziari di cui alla suddetta legge.</w:t>
      </w:r>
    </w:p>
    <w:p w14:paraId="531A9956"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Il presente contratto è sottoposto alla clausola risolutiva espressa ex art.1456 c.c. da attivarsi in tutti i casi in cui le transazioni siano eseguite senza avvalersi di banche o società Poste Italiane Spa.</w:t>
      </w:r>
    </w:p>
    <w:p w14:paraId="3E794CB0"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L’appaltatore, pena la risoluzione di diritto del contratto di appalto ex art. 1456 c.c., si obbliga ad inserire in tutti i contratti da sottoscrivere con i subappaltatori e i subcontraenti della filiera delle imprese a qualsiasi titolo interessate ai lavori, a pena di nullità assoluta di tali contratti derivati, una apposita clausola con la quale ciascuno di essi assume gli obblighi di tracciabilità dei flussi finanziari di cui alla legge n.136/10 e la loro sottoposizione alla clausola risolutiva espressa ex art.1456 c.c. da attivarsi  in tutti i casi in cui le transazioni relative ai contratti derivati siano eseguite senza avvalersi di banche o società Poste Italiane Spa: l'appaltatore o il subappaltatore o il subcontraente che ha notizia dell'inadempimento della propria controparte agli obblighi di tracciabilità finanziaria di cui all’art.3 della legge n.136/10, procede alla risoluzione del rapporto contrattuale ex art.1456 c.c., informandone contestualmente la committente e la prefettura-ufficio territoriale del Governo territorialmente competente. L’appaltatore si obbliga a consentire alla committente di verificare che nei contratti tra appaltatore, subappaltatore e subcontraente, sia inserita la clausola con la quale le parti assumono gli obblighi di tracciabilità dei flussi finanziari.</w:t>
      </w:r>
    </w:p>
    <w:p w14:paraId="4E7FCA9D" w14:textId="77777777" w:rsidR="00955B8E" w:rsidRPr="00CF4B7D" w:rsidRDefault="00955B8E" w:rsidP="00955B8E">
      <w:pPr>
        <w:widowControl w:val="0"/>
        <w:autoSpaceDE w:val="0"/>
        <w:autoSpaceDN w:val="0"/>
        <w:adjustRightInd w:val="0"/>
        <w:spacing w:before="120" w:after="120" w:line="480" w:lineRule="exact"/>
        <w:jc w:val="both"/>
        <w:rPr>
          <w:i/>
        </w:rPr>
      </w:pPr>
      <w:r w:rsidRPr="00CF4B7D">
        <w:rPr>
          <w:i/>
        </w:rPr>
        <w:t xml:space="preserve">Per la rata di saldo e per lo svincolo della cauzione definitiva si seguirà quanto previsto dall’art. 235 del dpr 207/10 e dal </w:t>
      </w:r>
      <w:proofErr w:type="spellStart"/>
      <w:r w:rsidRPr="00CF4B7D">
        <w:rPr>
          <w:i/>
        </w:rPr>
        <w:t>csa</w:t>
      </w:r>
      <w:proofErr w:type="spellEnd"/>
      <w:r w:rsidRPr="00CF4B7D">
        <w:rPr>
          <w:i/>
        </w:rPr>
        <w:t xml:space="preserve">.”  </w:t>
      </w:r>
    </w:p>
    <w:p w14:paraId="6E34D047" w14:textId="0E778D30" w:rsidR="00206E8E" w:rsidRDefault="00440422" w:rsidP="00206E8E">
      <w:pPr>
        <w:widowControl w:val="0"/>
        <w:autoSpaceDE w:val="0"/>
        <w:autoSpaceDN w:val="0"/>
        <w:adjustRightInd w:val="0"/>
        <w:spacing w:before="120" w:after="120" w:line="480" w:lineRule="exact"/>
        <w:jc w:val="both"/>
      </w:pPr>
      <w:r w:rsidRPr="00440422">
        <w:t xml:space="preserve"> </w:t>
      </w:r>
    </w:p>
    <w:p w14:paraId="7B273916" w14:textId="77777777" w:rsidR="00440422" w:rsidRPr="00440422" w:rsidRDefault="00440422" w:rsidP="00440422">
      <w:pPr>
        <w:widowControl w:val="0"/>
        <w:autoSpaceDE w:val="0"/>
        <w:autoSpaceDN w:val="0"/>
        <w:adjustRightInd w:val="0"/>
        <w:spacing w:before="120" w:after="120" w:line="480" w:lineRule="exact"/>
        <w:jc w:val="both"/>
      </w:pPr>
      <w:r w:rsidRPr="00440422">
        <w:t xml:space="preserve">Se più operatori economici compartecipano alla procedura di appalto sotto forma di soggetto gruppo </w:t>
      </w:r>
      <w:r w:rsidRPr="00A27B78">
        <w:rPr>
          <w:i/>
        </w:rPr>
        <w:t>costituendo</w:t>
      </w:r>
      <w:r w:rsidRPr="00440422">
        <w:t xml:space="preserve"> (intendendosi per tale i soggetti ex art.45, comma 2, lett. d), e), f), g), d.lgs.50/16), la dichiarazione deve essere sottoscritta con firma digitale da tutti i membri; in caso di soggetto gruppo </w:t>
      </w:r>
      <w:r w:rsidRPr="00A27B78">
        <w:rPr>
          <w:i/>
        </w:rPr>
        <w:t>già costituito nelle forme di legge</w:t>
      </w:r>
      <w:r w:rsidRPr="00440422">
        <w:t>, la dichiarazione deve essere sottoscritta digitalmente dal legale rappresentante del soggetto gruppo.</w:t>
      </w:r>
    </w:p>
    <w:p w14:paraId="2AC60697" w14:textId="77777777" w:rsidR="00440422" w:rsidRPr="00440422" w:rsidRDefault="00440422" w:rsidP="00440422">
      <w:pPr>
        <w:widowControl w:val="0"/>
        <w:autoSpaceDE w:val="0"/>
        <w:autoSpaceDN w:val="0"/>
        <w:adjustRightInd w:val="0"/>
        <w:spacing w:before="120" w:after="120" w:line="480" w:lineRule="exact"/>
        <w:jc w:val="both"/>
      </w:pPr>
    </w:p>
    <w:p w14:paraId="09F7A39A"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p w14:paraId="7C4C0F20"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p w14:paraId="0CED4A12"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sectPr w:rsidR="006412AC" w:rsidRPr="00440422" w:rsidSect="00201422">
      <w:pgSz w:w="11906" w:h="16838" w:code="9"/>
      <w:pgMar w:top="1418"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431E2" w14:textId="77777777" w:rsidR="00C7550A" w:rsidRDefault="00C7550A" w:rsidP="00FB0523">
      <w:r>
        <w:separator/>
      </w:r>
    </w:p>
  </w:endnote>
  <w:endnote w:type="continuationSeparator" w:id="0">
    <w:p w14:paraId="41061003" w14:textId="77777777" w:rsidR="00C7550A" w:rsidRDefault="00C7550A" w:rsidP="00FB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D39F5" w14:textId="77777777" w:rsidR="00C7550A" w:rsidRDefault="00C7550A" w:rsidP="00FB0523">
      <w:r>
        <w:separator/>
      </w:r>
    </w:p>
  </w:footnote>
  <w:footnote w:type="continuationSeparator" w:id="0">
    <w:p w14:paraId="608D59F8" w14:textId="77777777" w:rsidR="00C7550A" w:rsidRDefault="00C7550A" w:rsidP="00FB0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A3B33"/>
    <w:multiLevelType w:val="hybridMultilevel"/>
    <w:tmpl w:val="ACB07D74"/>
    <w:lvl w:ilvl="0" w:tplc="68029E8E">
      <w:start w:val="1"/>
      <w:numFmt w:val="lowerLetter"/>
      <w:lvlText w:val="%1)"/>
      <w:lvlJc w:val="left"/>
      <w:pPr>
        <w:ind w:left="786" w:hanging="360"/>
      </w:pPr>
      <w:rPr>
        <w:strike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AFF"/>
    <w:rsid w:val="000069C5"/>
    <w:rsid w:val="00017EB4"/>
    <w:rsid w:val="00073B4B"/>
    <w:rsid w:val="000A205E"/>
    <w:rsid w:val="000B1799"/>
    <w:rsid w:val="000D6952"/>
    <w:rsid w:val="000E325A"/>
    <w:rsid w:val="00131E33"/>
    <w:rsid w:val="00150D82"/>
    <w:rsid w:val="001B6910"/>
    <w:rsid w:val="00201422"/>
    <w:rsid w:val="00206E8E"/>
    <w:rsid w:val="00245F89"/>
    <w:rsid w:val="002747F5"/>
    <w:rsid w:val="00380FEF"/>
    <w:rsid w:val="00385810"/>
    <w:rsid w:val="00397AA5"/>
    <w:rsid w:val="003E6BC5"/>
    <w:rsid w:val="003F244E"/>
    <w:rsid w:val="003F4EC8"/>
    <w:rsid w:val="003F6C81"/>
    <w:rsid w:val="0043244D"/>
    <w:rsid w:val="00440422"/>
    <w:rsid w:val="00441AB1"/>
    <w:rsid w:val="0047391D"/>
    <w:rsid w:val="004E5AA8"/>
    <w:rsid w:val="00505001"/>
    <w:rsid w:val="00541924"/>
    <w:rsid w:val="00544AC9"/>
    <w:rsid w:val="00564542"/>
    <w:rsid w:val="005726F7"/>
    <w:rsid w:val="005A330B"/>
    <w:rsid w:val="005C6EFA"/>
    <w:rsid w:val="005D1AFF"/>
    <w:rsid w:val="005E288F"/>
    <w:rsid w:val="005E5B1F"/>
    <w:rsid w:val="00634B6D"/>
    <w:rsid w:val="006412AC"/>
    <w:rsid w:val="0065281A"/>
    <w:rsid w:val="00665A92"/>
    <w:rsid w:val="00683CD6"/>
    <w:rsid w:val="006B1E55"/>
    <w:rsid w:val="0071199B"/>
    <w:rsid w:val="0075723F"/>
    <w:rsid w:val="00772C07"/>
    <w:rsid w:val="00785E63"/>
    <w:rsid w:val="007A5CC4"/>
    <w:rsid w:val="0080105C"/>
    <w:rsid w:val="00891D0C"/>
    <w:rsid w:val="00894A05"/>
    <w:rsid w:val="008D0010"/>
    <w:rsid w:val="008D5E08"/>
    <w:rsid w:val="008D7C32"/>
    <w:rsid w:val="008E07E2"/>
    <w:rsid w:val="008F164B"/>
    <w:rsid w:val="00955B8E"/>
    <w:rsid w:val="00964268"/>
    <w:rsid w:val="009868A8"/>
    <w:rsid w:val="00992620"/>
    <w:rsid w:val="00994367"/>
    <w:rsid w:val="009C20EF"/>
    <w:rsid w:val="009D25B6"/>
    <w:rsid w:val="009D7E40"/>
    <w:rsid w:val="00A04CB3"/>
    <w:rsid w:val="00A27B78"/>
    <w:rsid w:val="00A410B8"/>
    <w:rsid w:val="00A93BBB"/>
    <w:rsid w:val="00B224A8"/>
    <w:rsid w:val="00B7760B"/>
    <w:rsid w:val="00BE2BC6"/>
    <w:rsid w:val="00BF461E"/>
    <w:rsid w:val="00C44AFC"/>
    <w:rsid w:val="00C7550A"/>
    <w:rsid w:val="00D33E22"/>
    <w:rsid w:val="00D6459F"/>
    <w:rsid w:val="00D84752"/>
    <w:rsid w:val="00D944DF"/>
    <w:rsid w:val="00D96461"/>
    <w:rsid w:val="00DC4F6F"/>
    <w:rsid w:val="00E123AA"/>
    <w:rsid w:val="00E145F3"/>
    <w:rsid w:val="00E34A7D"/>
    <w:rsid w:val="00E53A9A"/>
    <w:rsid w:val="00E5794A"/>
    <w:rsid w:val="00E65541"/>
    <w:rsid w:val="00EA5838"/>
    <w:rsid w:val="00EC5F0C"/>
    <w:rsid w:val="00ED5F60"/>
    <w:rsid w:val="00EF4C72"/>
    <w:rsid w:val="00F30E39"/>
    <w:rsid w:val="00FB05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B685"/>
  <w15:docId w15:val="{A056ABF8-B06C-4815-8A62-5C1442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523"/>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9"/>
    <w:qFormat/>
    <w:rsid w:val="005C6EFA"/>
    <w:pPr>
      <w:keepNext/>
      <w:spacing w:before="240" w:after="60"/>
      <w:outlineLvl w:val="1"/>
    </w:pPr>
    <w:rPr>
      <w:rFonts w:ascii="Arial" w:eastAsia="Calibri"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FB0523"/>
    <w:rPr>
      <w:sz w:val="20"/>
      <w:szCs w:val="20"/>
    </w:rPr>
  </w:style>
  <w:style w:type="character" w:customStyle="1" w:styleId="TestonotaapidipaginaCarattere">
    <w:name w:val="Testo nota a piè di pagina Carattere"/>
    <w:basedOn w:val="Carpredefinitoparagrafo"/>
    <w:link w:val="Testonotaapidipagina"/>
    <w:rsid w:val="00FB0523"/>
    <w:rPr>
      <w:rFonts w:ascii="Times New Roman" w:eastAsia="Times New Roman" w:hAnsi="Times New Roman" w:cs="Times New Roman"/>
      <w:sz w:val="20"/>
      <w:szCs w:val="20"/>
      <w:lang w:eastAsia="it-IT"/>
    </w:rPr>
  </w:style>
  <w:style w:type="character" w:styleId="Rimandonotaapidipagina">
    <w:name w:val="footnote reference"/>
    <w:uiPriority w:val="99"/>
    <w:rsid w:val="00FB0523"/>
    <w:rPr>
      <w:vertAlign w:val="superscript"/>
    </w:rPr>
  </w:style>
  <w:style w:type="paragraph" w:customStyle="1" w:styleId="Normale1">
    <w:name w:val="Normale1"/>
    <w:basedOn w:val="Normale"/>
    <w:rsid w:val="007A5CC4"/>
    <w:pPr>
      <w:spacing w:before="120"/>
      <w:jc w:val="both"/>
    </w:pPr>
  </w:style>
  <w:style w:type="paragraph" w:styleId="Paragrafoelenco">
    <w:name w:val="List Paragraph"/>
    <w:basedOn w:val="Normale"/>
    <w:uiPriority w:val="34"/>
    <w:qFormat/>
    <w:rsid w:val="003E6BC5"/>
    <w:pPr>
      <w:ind w:left="720"/>
      <w:contextualSpacing/>
    </w:pPr>
  </w:style>
  <w:style w:type="character" w:customStyle="1" w:styleId="Titolo2Carattere">
    <w:name w:val="Titolo 2 Carattere"/>
    <w:basedOn w:val="Carpredefinitoparagrafo"/>
    <w:link w:val="Titolo2"/>
    <w:uiPriority w:val="99"/>
    <w:rsid w:val="005C6EFA"/>
    <w:rPr>
      <w:rFonts w:ascii="Arial" w:eastAsia="Calibri" w:hAnsi="Arial" w:cs="Times New Roman"/>
      <w:b/>
      <w:i/>
      <w:sz w:val="28"/>
      <w:szCs w:val="20"/>
      <w:lang w:eastAsia="it-IT"/>
    </w:rPr>
  </w:style>
  <w:style w:type="paragraph" w:styleId="Testofumetto">
    <w:name w:val="Balloon Text"/>
    <w:basedOn w:val="Normale"/>
    <w:link w:val="TestofumettoCarattere"/>
    <w:uiPriority w:val="99"/>
    <w:semiHidden/>
    <w:unhideWhenUsed/>
    <w:rsid w:val="00955B8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5B8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3152</Words>
  <Characters>17969</Characters>
  <Application>Microsoft Office Word</Application>
  <DocSecurity>0</DocSecurity>
  <Lines>149</Lines>
  <Paragraphs>42</Paragraphs>
  <ScaleCrop>false</ScaleCrop>
  <Company>Hewlett-Packard Company</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alessandro carlo licci marini</cp:lastModifiedBy>
  <cp:revision>64</cp:revision>
  <dcterms:created xsi:type="dcterms:W3CDTF">2017-03-22T10:45:00Z</dcterms:created>
  <dcterms:modified xsi:type="dcterms:W3CDTF">2020-12-21T06:29:00Z</dcterms:modified>
</cp:coreProperties>
</file>