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DC25" w14:textId="77777777" w:rsidR="00CD2796" w:rsidRDefault="003E75B7">
      <w:pPr>
        <w:widowControl w:val="0"/>
        <w:autoSpaceDE w:val="0"/>
        <w:autoSpaceDN w:val="0"/>
        <w:adjustRightInd w:val="0"/>
        <w:spacing w:before="120" w:after="120" w:line="480" w:lineRule="exact"/>
        <w:jc w:val="center"/>
        <w:rPr>
          <w:b/>
          <w:bCs/>
          <w:sz w:val="28"/>
          <w:szCs w:val="28"/>
        </w:rPr>
      </w:pPr>
      <w:r w:rsidRPr="003E75B7">
        <w:rPr>
          <w:b/>
          <w:bCs/>
          <w:sz w:val="28"/>
          <w:szCs w:val="28"/>
        </w:rPr>
        <w:t xml:space="preserve">Allegato </w:t>
      </w:r>
      <w:r w:rsidR="0061425A">
        <w:rPr>
          <w:b/>
          <w:bCs/>
          <w:sz w:val="28"/>
          <w:szCs w:val="28"/>
        </w:rPr>
        <w:t>D</w:t>
      </w:r>
    </w:p>
    <w:p w14:paraId="69BE322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40981E80" w14:textId="296A009D" w:rsidR="008F4288" w:rsidRPr="00AC45F9" w:rsidRDefault="00AA702E">
      <w:pPr>
        <w:widowControl w:val="0"/>
        <w:autoSpaceDE w:val="0"/>
        <w:autoSpaceDN w:val="0"/>
        <w:adjustRightInd w:val="0"/>
        <w:spacing w:before="120" w:after="120" w:line="480" w:lineRule="exact"/>
        <w:jc w:val="center"/>
        <w:rPr>
          <w:b/>
          <w:sz w:val="28"/>
          <w:szCs w:val="28"/>
          <w:lang w:val="en-US"/>
        </w:rPr>
      </w:pPr>
      <w:r w:rsidRPr="00AC45F9">
        <w:rPr>
          <w:b/>
          <w:sz w:val="28"/>
          <w:szCs w:val="28"/>
          <w:lang w:val="en-US"/>
        </w:rPr>
        <w:t xml:space="preserve">art. 80, </w:t>
      </w:r>
      <w:r w:rsidR="00AC45F9" w:rsidRPr="00AC45F9">
        <w:rPr>
          <w:b/>
          <w:sz w:val="28"/>
          <w:szCs w:val="28"/>
          <w:lang w:val="en-US"/>
        </w:rPr>
        <w:t>D</w:t>
      </w:r>
      <w:r w:rsidRPr="00AC45F9">
        <w:rPr>
          <w:b/>
          <w:sz w:val="28"/>
          <w:szCs w:val="28"/>
          <w:lang w:val="en-US"/>
        </w:rPr>
        <w:t>.</w:t>
      </w:r>
      <w:r w:rsidR="00AC45F9">
        <w:rPr>
          <w:b/>
          <w:sz w:val="28"/>
          <w:szCs w:val="28"/>
          <w:lang w:val="en-US"/>
        </w:rPr>
        <w:t xml:space="preserve"> </w:t>
      </w:r>
      <w:proofErr w:type="spellStart"/>
      <w:r w:rsidR="00AC45F9">
        <w:rPr>
          <w:b/>
          <w:sz w:val="28"/>
          <w:szCs w:val="28"/>
          <w:lang w:val="en-US"/>
        </w:rPr>
        <w:t>L</w:t>
      </w:r>
      <w:r w:rsidRPr="00AC45F9">
        <w:rPr>
          <w:b/>
          <w:sz w:val="28"/>
          <w:szCs w:val="28"/>
          <w:lang w:val="en-US"/>
        </w:rPr>
        <w:t>gs</w:t>
      </w:r>
      <w:proofErr w:type="spellEnd"/>
      <w:r w:rsidRPr="00AC45F9">
        <w:rPr>
          <w:b/>
          <w:sz w:val="28"/>
          <w:szCs w:val="28"/>
          <w:lang w:val="en-US"/>
        </w:rPr>
        <w:t>.</w:t>
      </w:r>
      <w:r w:rsidR="00CD2796" w:rsidRPr="00AC45F9">
        <w:rPr>
          <w:b/>
          <w:sz w:val="28"/>
          <w:szCs w:val="28"/>
          <w:lang w:val="en-US"/>
        </w:rPr>
        <w:t xml:space="preserve"> </w:t>
      </w:r>
      <w:r w:rsidR="00AC45F9">
        <w:rPr>
          <w:b/>
          <w:sz w:val="28"/>
          <w:szCs w:val="28"/>
          <w:lang w:val="en-US"/>
        </w:rPr>
        <w:t xml:space="preserve">n. </w:t>
      </w:r>
      <w:r w:rsidRPr="00AC45F9">
        <w:rPr>
          <w:b/>
          <w:sz w:val="28"/>
          <w:szCs w:val="28"/>
          <w:lang w:val="en-US"/>
        </w:rPr>
        <w:t>50/2016</w:t>
      </w:r>
      <w:r w:rsidR="00444798" w:rsidRPr="00AC45F9">
        <w:rPr>
          <w:b/>
          <w:sz w:val="28"/>
          <w:szCs w:val="28"/>
          <w:lang w:val="en-US"/>
        </w:rPr>
        <w:t xml:space="preserve"> s.m.i.</w:t>
      </w:r>
    </w:p>
    <w:p w14:paraId="0CDC40BE" w14:textId="77777777" w:rsidR="00AC45F9" w:rsidRPr="005A7CE2" w:rsidRDefault="00AC45F9" w:rsidP="00AC45F9">
      <w:pPr>
        <w:pBdr>
          <w:top w:val="single" w:sz="4" w:space="2" w:color="auto"/>
          <w:left w:val="single" w:sz="4" w:space="3" w:color="auto"/>
          <w:bottom w:val="single" w:sz="4" w:space="1" w:color="auto"/>
          <w:right w:val="single" w:sz="4" w:space="3" w:color="auto"/>
        </w:pBdr>
        <w:shd w:val="pct20" w:color="000000" w:fill="FFFFFF"/>
        <w:jc w:val="center"/>
        <w:rPr>
          <w:b/>
          <w:bCs/>
          <w:smallCaps/>
          <w:sz w:val="28"/>
          <w:szCs w:val="28"/>
        </w:rPr>
      </w:pPr>
      <w:r w:rsidRPr="005A7CE2">
        <w:rPr>
          <w:b/>
          <w:bCs/>
          <w:smallCaps/>
          <w:sz w:val="28"/>
          <w:szCs w:val="28"/>
        </w:rPr>
        <w:t>procedura negoziata senza previa pubblicazione del bando di gara</w:t>
      </w:r>
    </w:p>
    <w:p w14:paraId="3DC5660D" w14:textId="77777777" w:rsidR="005F7FEF" w:rsidRPr="005F7FEF" w:rsidRDefault="005F7FEF" w:rsidP="00AC45F9">
      <w:pPr>
        <w:pBdr>
          <w:top w:val="single" w:sz="4" w:space="2" w:color="auto"/>
          <w:left w:val="single" w:sz="4" w:space="3" w:color="auto"/>
          <w:bottom w:val="single" w:sz="4" w:space="1" w:color="auto"/>
          <w:right w:val="single" w:sz="4" w:space="3" w:color="auto"/>
        </w:pBdr>
        <w:shd w:val="pct20" w:color="000000" w:fill="FFFFFF"/>
        <w:jc w:val="center"/>
        <w:rPr>
          <w:sz w:val="20"/>
          <w:szCs w:val="20"/>
        </w:rPr>
      </w:pPr>
      <w:r w:rsidRPr="005F7FEF">
        <w:rPr>
          <w:sz w:val="20"/>
          <w:szCs w:val="20"/>
        </w:rPr>
        <w:t>(art. 1 comma 2 lett. b) Legge 120/2020 così modificata dall’art. 51, comma 1, lettera a), sub. 2.2) Legge 108/2021)</w:t>
      </w:r>
    </w:p>
    <w:p w14:paraId="0C6BDDEA" w14:textId="58E8E8A6" w:rsidR="00AC45F9" w:rsidRPr="00D7123A" w:rsidRDefault="00AC45F9" w:rsidP="00AC45F9">
      <w:pPr>
        <w:pBdr>
          <w:top w:val="single" w:sz="4" w:space="2" w:color="auto"/>
          <w:left w:val="single" w:sz="4" w:space="3" w:color="auto"/>
          <w:bottom w:val="single" w:sz="4" w:space="1" w:color="auto"/>
          <w:right w:val="single" w:sz="4" w:space="3" w:color="auto"/>
        </w:pBdr>
        <w:shd w:val="pct20" w:color="000000" w:fill="FFFFFF"/>
        <w:jc w:val="center"/>
      </w:pPr>
      <w:r w:rsidRPr="00D7123A">
        <w:t>PER L’AFFIDAMENTO DEI LAVORI DI</w:t>
      </w:r>
    </w:p>
    <w:p w14:paraId="212D07CB" w14:textId="3967F058" w:rsidR="00AC45F9" w:rsidRPr="00D7123A" w:rsidRDefault="005F7FEF" w:rsidP="00AC45F9">
      <w:pPr>
        <w:pBdr>
          <w:top w:val="single" w:sz="4" w:space="2" w:color="auto"/>
          <w:left w:val="single" w:sz="4" w:space="3" w:color="auto"/>
          <w:bottom w:val="single" w:sz="4" w:space="1" w:color="auto"/>
          <w:right w:val="single" w:sz="4" w:space="3" w:color="auto"/>
        </w:pBdr>
        <w:shd w:val="pct20" w:color="000000" w:fill="FFFFFF"/>
        <w:jc w:val="center"/>
        <w:rPr>
          <w:b/>
        </w:rPr>
      </w:pPr>
      <w:r w:rsidRPr="005F7FEF">
        <w:rPr>
          <w:b/>
        </w:rPr>
        <w:t>“</w:t>
      </w:r>
      <w:r w:rsidR="003F2083" w:rsidRPr="003F2083">
        <w:rPr>
          <w:rFonts w:eastAsia="Calibri"/>
          <w:b/>
          <w:color w:val="000000"/>
        </w:rPr>
        <w:t>REALIZZAZIONE DI PISTA CICLO-PEDONALE TRA I COMUNI DI BUSCA E COSTIGLIOLE SALUZZO LUNGO LA CICLOVIA EUROVELO 8                                   PER MIGLIORAMENTO DELLA SICUREZZA.</w:t>
      </w:r>
      <w:r w:rsidRPr="005F7FEF">
        <w:rPr>
          <w:b/>
        </w:rPr>
        <w:t>”</w:t>
      </w:r>
    </w:p>
    <w:p w14:paraId="4FAB89BC" w14:textId="77777777" w:rsidR="00AC45F9" w:rsidRPr="00AC45F9" w:rsidRDefault="00AC45F9" w:rsidP="00AA702E">
      <w:pPr>
        <w:spacing w:line="490" w:lineRule="exact"/>
        <w:jc w:val="both"/>
        <w:rPr>
          <w:sz w:val="16"/>
          <w:szCs w:val="16"/>
        </w:rPr>
      </w:pPr>
    </w:p>
    <w:p w14:paraId="2B164B8A" w14:textId="6D2F6E68" w:rsidR="00E31087" w:rsidRDefault="00AA702E" w:rsidP="00AA702E">
      <w:pPr>
        <w:spacing w:line="490" w:lineRule="exact"/>
        <w:jc w:val="both"/>
        <w:rPr>
          <w:b/>
        </w:rPr>
      </w:pPr>
      <w:r w:rsidRPr="0046688E">
        <w:t xml:space="preserve">Il sottoscritto </w:t>
      </w:r>
      <w:r w:rsidR="00AC45F9">
        <w:t>____________________________________</w:t>
      </w:r>
      <w:r w:rsidRPr="0046688E">
        <w:t xml:space="preserve"> nato a </w:t>
      </w:r>
      <w:r w:rsidR="00AC45F9">
        <w:t>___________________________ il __________________</w:t>
      </w:r>
      <w:r w:rsidRPr="0046688E">
        <w:t xml:space="preserve">, residente a </w:t>
      </w:r>
      <w:r w:rsidR="00AC45F9">
        <w:t>________________________________________________</w:t>
      </w:r>
      <w:r w:rsidRPr="0046688E">
        <w:t xml:space="preserve">, via </w:t>
      </w:r>
      <w:r w:rsidR="00AC45F9">
        <w:t>_____________________________________</w:t>
      </w:r>
      <w:r w:rsidRPr="0046688E">
        <w:t xml:space="preserve"> n</w:t>
      </w:r>
      <w:r w:rsidR="00AC45F9">
        <w:t>. ______</w:t>
      </w:r>
      <w:r w:rsidRPr="0046688E">
        <w:t xml:space="preserve"> in qualità di legale rappresentante dell’offerente</w:t>
      </w:r>
      <w:r w:rsidR="00AC45F9">
        <w:t xml:space="preserve"> ____________________________________________________________</w:t>
      </w:r>
      <w:r w:rsidR="00E31087">
        <w:t xml:space="preserve"> </w:t>
      </w:r>
      <w:r>
        <w:rPr>
          <w:b/>
        </w:rPr>
        <w:t xml:space="preserve">dichiara </w:t>
      </w:r>
    </w:p>
    <w:p w14:paraId="115CAFE6" w14:textId="77777777" w:rsidR="00E31087" w:rsidRPr="00AC45F9" w:rsidRDefault="00E31087" w:rsidP="00AA702E">
      <w:pPr>
        <w:spacing w:line="490" w:lineRule="exact"/>
        <w:jc w:val="both"/>
        <w:rPr>
          <w:b/>
          <w:sz w:val="16"/>
          <w:szCs w:val="16"/>
        </w:rPr>
      </w:pPr>
    </w:p>
    <w:p w14:paraId="27545EB5" w14:textId="77777777" w:rsidR="00AC45F9" w:rsidRDefault="00AC45F9" w:rsidP="00AC45F9">
      <w:pPr>
        <w:spacing w:line="490" w:lineRule="exact"/>
        <w:jc w:val="both"/>
        <w:rPr>
          <w:b/>
        </w:rPr>
      </w:pPr>
      <w:r w:rsidRPr="0046688E">
        <w:t xml:space="preserve">Il sottoscritto </w:t>
      </w:r>
      <w:r>
        <w:t>____________________________________</w:t>
      </w:r>
      <w:r w:rsidRPr="0046688E">
        <w:t xml:space="preserve"> nato a </w:t>
      </w:r>
      <w:r>
        <w:t>___________________________ il __________________</w:t>
      </w:r>
      <w:r w:rsidRPr="0046688E">
        <w:t xml:space="preserve">, residente a </w:t>
      </w:r>
      <w:r>
        <w:t>________________________________________________</w:t>
      </w:r>
      <w:r w:rsidRPr="0046688E">
        <w:t xml:space="preserve">, via </w:t>
      </w:r>
      <w:r>
        <w:t>_____________________________________</w:t>
      </w:r>
      <w:r w:rsidRPr="0046688E">
        <w:t xml:space="preserve"> n</w:t>
      </w:r>
      <w:r>
        <w:t>. ______</w:t>
      </w:r>
      <w:r w:rsidRPr="0046688E">
        <w:t xml:space="preserve"> in qualità di legale rappresentante dell’offerente</w:t>
      </w:r>
      <w:r>
        <w:t xml:space="preserve"> ____________________________________________________________ </w:t>
      </w:r>
      <w:r>
        <w:rPr>
          <w:b/>
        </w:rPr>
        <w:t xml:space="preserve">dichiara </w:t>
      </w:r>
    </w:p>
    <w:p w14:paraId="1AA2350E" w14:textId="77777777" w:rsidR="00444FC1" w:rsidRPr="00AC45F9" w:rsidRDefault="00444FC1" w:rsidP="00AA702E">
      <w:pPr>
        <w:spacing w:line="490" w:lineRule="exact"/>
        <w:jc w:val="both"/>
        <w:rPr>
          <w:b/>
          <w:sz w:val="16"/>
          <w:szCs w:val="16"/>
        </w:rPr>
      </w:pPr>
    </w:p>
    <w:p w14:paraId="0DCBE796" w14:textId="63893AA4" w:rsidR="00AC45F9" w:rsidRPr="00AA702E" w:rsidRDefault="00AA702E" w:rsidP="00AA702E">
      <w:pPr>
        <w:spacing w:line="490" w:lineRule="exact"/>
        <w:jc w:val="both"/>
      </w:pPr>
      <w:r w:rsidRPr="00E31087">
        <w:rPr>
          <w:b/>
        </w:rPr>
        <w:t>l’insussistenza</w:t>
      </w:r>
      <w:r w:rsidRPr="00AA702E">
        <w:t xml:space="preserve"> delle cause di esclusione di ordine generale di cui all'art. 80, commi 1, 2, 3, 4 e 5, </w:t>
      </w:r>
      <w:r w:rsidR="00AC45F9">
        <w:t>D</w:t>
      </w:r>
      <w:r w:rsidRPr="00AA702E">
        <w:t>.</w:t>
      </w:r>
      <w:r w:rsidR="00AC45F9">
        <w:t xml:space="preserve"> L</w:t>
      </w:r>
      <w:r w:rsidRPr="00AA702E">
        <w:t xml:space="preserve">gs. </w:t>
      </w:r>
      <w:r w:rsidR="00AC45F9">
        <w:t>n.</w:t>
      </w:r>
      <w:r w:rsidRPr="00AA702E">
        <w:t xml:space="preserve"> 50/2016</w:t>
      </w:r>
      <w:r>
        <w:rPr>
          <w:rStyle w:val="Rimandonotaapidipagina"/>
        </w:rPr>
        <w:footnoteReference w:id="1"/>
      </w:r>
      <w:r>
        <w:t>.</w:t>
      </w:r>
    </w:p>
    <w:p w14:paraId="75F296FC" w14:textId="77777777" w:rsidR="00AA702E" w:rsidRDefault="00AA702E" w:rsidP="00AA702E">
      <w:pPr>
        <w:tabs>
          <w:tab w:val="left" w:pos="567"/>
          <w:tab w:val="left" w:pos="851"/>
        </w:tabs>
        <w:spacing w:line="360" w:lineRule="auto"/>
        <w:ind w:left="851" w:hanging="284"/>
        <w:jc w:val="center"/>
      </w:pPr>
    </w:p>
    <w:p w14:paraId="76974A96" w14:textId="77777777" w:rsidR="00AA702E" w:rsidRPr="00F00E59" w:rsidRDefault="00AA702E" w:rsidP="00AA702E">
      <w:pPr>
        <w:tabs>
          <w:tab w:val="left" w:pos="567"/>
          <w:tab w:val="left" w:pos="851"/>
        </w:tabs>
        <w:spacing w:line="360" w:lineRule="auto"/>
        <w:ind w:left="851" w:hanging="284"/>
        <w:jc w:val="center"/>
      </w:pPr>
      <w:r w:rsidRPr="00F00E59">
        <w:t>Firma/e</w:t>
      </w:r>
      <w:r w:rsidR="00913EAA">
        <w:t xml:space="preserve"> digitale/i</w:t>
      </w:r>
    </w:p>
    <w:p w14:paraId="2515653D" w14:textId="77777777" w:rsidR="00AA702E" w:rsidRPr="00F00E59" w:rsidRDefault="00AA702E" w:rsidP="00AA702E">
      <w:pPr>
        <w:tabs>
          <w:tab w:val="left" w:pos="567"/>
          <w:tab w:val="left" w:pos="851"/>
        </w:tabs>
        <w:spacing w:line="360" w:lineRule="auto"/>
        <w:ind w:left="851" w:hanging="284"/>
        <w:jc w:val="center"/>
      </w:pPr>
      <w:r w:rsidRPr="00F00E59">
        <w:t>…………………………………</w:t>
      </w:r>
    </w:p>
    <w:p w14:paraId="40D99BAB" w14:textId="77777777" w:rsidR="00AA702E" w:rsidRPr="00F00E59" w:rsidRDefault="00AA702E" w:rsidP="00AA702E">
      <w:pPr>
        <w:tabs>
          <w:tab w:val="left" w:pos="567"/>
          <w:tab w:val="left" w:pos="851"/>
        </w:tabs>
        <w:spacing w:line="360" w:lineRule="auto"/>
        <w:ind w:left="851" w:hanging="284"/>
        <w:jc w:val="center"/>
      </w:pPr>
      <w:r w:rsidRPr="00F00E59">
        <w:t>…………………………………</w:t>
      </w:r>
    </w:p>
    <w:p w14:paraId="7735C609" w14:textId="77777777" w:rsidR="006138E8" w:rsidRPr="0004063E" w:rsidRDefault="006138E8" w:rsidP="00AA702E">
      <w:pPr>
        <w:spacing w:line="360" w:lineRule="auto"/>
        <w:ind w:right="45"/>
        <w:jc w:val="both"/>
        <w:rPr>
          <w:w w:val="110"/>
        </w:rPr>
      </w:pPr>
    </w:p>
    <w:p w14:paraId="64FB3C15" w14:textId="77777777" w:rsidR="00B9117A" w:rsidRPr="00F00E59" w:rsidRDefault="00B9117A">
      <w:pPr>
        <w:pStyle w:val="Normale2"/>
        <w:spacing w:line="360" w:lineRule="auto"/>
        <w:ind w:left="567"/>
      </w:pPr>
    </w:p>
    <w:p w14:paraId="153CD25D" w14:textId="77777777" w:rsidR="00AA702E" w:rsidRDefault="00AA702E" w:rsidP="00CD2796">
      <w:pPr>
        <w:spacing w:line="360" w:lineRule="auto"/>
        <w:ind w:left="142" w:right="45" w:hanging="142"/>
        <w:jc w:val="both"/>
      </w:pPr>
      <w:r>
        <w:t>NOTA:</w:t>
      </w:r>
    </w:p>
    <w:p w14:paraId="595F005E" w14:textId="7CD9C1A3" w:rsidR="008F4288" w:rsidRPr="00AA702E" w:rsidRDefault="008F4288" w:rsidP="00CD2796">
      <w:pPr>
        <w:spacing w:line="360" w:lineRule="auto"/>
        <w:ind w:right="45"/>
        <w:jc w:val="both"/>
        <w:rPr>
          <w:i/>
          <w:iCs/>
        </w:rPr>
      </w:pPr>
      <w:r w:rsidRPr="00AA702E">
        <w:rPr>
          <w:i/>
          <w:iCs/>
        </w:rPr>
        <w:t xml:space="preserve">Se più operatori economici compartecipano alla procedura di appalto sotto forma di </w:t>
      </w:r>
      <w:r w:rsidRPr="00AA702E">
        <w:rPr>
          <w:b/>
          <w:i/>
          <w:iCs/>
        </w:rPr>
        <w:t>soggetto gruppo costituendo</w:t>
      </w:r>
      <w:r w:rsidRPr="00AA702E">
        <w:rPr>
          <w:i/>
          <w:iCs/>
        </w:rPr>
        <w:t xml:space="preserve"> </w:t>
      </w:r>
      <w:r w:rsidR="00E31087">
        <w:rPr>
          <w:i/>
          <w:iCs/>
        </w:rPr>
        <w:t>o</w:t>
      </w:r>
      <w:r w:rsidR="00E31087" w:rsidRPr="00AA702E">
        <w:rPr>
          <w:b/>
          <w:i/>
          <w:iCs/>
        </w:rPr>
        <w:t xml:space="preserve"> già costituito</w:t>
      </w:r>
      <w:r w:rsidR="00E31087" w:rsidRPr="00AA702E">
        <w:rPr>
          <w:i/>
          <w:iCs/>
        </w:rPr>
        <w:t xml:space="preserve"> </w:t>
      </w:r>
      <w:r w:rsidRPr="00AA702E">
        <w:rPr>
          <w:i/>
          <w:iCs/>
        </w:rPr>
        <w:t>(intendendosi per tale i soggetti ex art.</w:t>
      </w:r>
      <w:r w:rsidR="00CD2796">
        <w:rPr>
          <w:i/>
          <w:iCs/>
        </w:rPr>
        <w:t xml:space="preserve"> </w:t>
      </w:r>
      <w:r w:rsidRPr="00AA702E">
        <w:rPr>
          <w:i/>
          <w:iCs/>
        </w:rPr>
        <w:t xml:space="preserve">45, comma 2, lett. d), e), f), g), </w:t>
      </w:r>
      <w:r w:rsidR="00AC45F9">
        <w:rPr>
          <w:i/>
          <w:iCs/>
        </w:rPr>
        <w:t>D</w:t>
      </w:r>
      <w:r w:rsidRPr="00AA702E">
        <w:rPr>
          <w:i/>
          <w:iCs/>
        </w:rPr>
        <w:t>.</w:t>
      </w:r>
      <w:r w:rsidR="00AC45F9">
        <w:rPr>
          <w:i/>
          <w:iCs/>
        </w:rPr>
        <w:t xml:space="preserve"> L</w:t>
      </w:r>
      <w:r w:rsidRPr="00AA702E">
        <w:rPr>
          <w:i/>
          <w:iCs/>
        </w:rPr>
        <w:t xml:space="preserve">gs. </w:t>
      </w:r>
      <w:r w:rsidR="00AC45F9">
        <w:rPr>
          <w:i/>
          <w:iCs/>
        </w:rPr>
        <w:t xml:space="preserve">n. </w:t>
      </w:r>
      <w:r w:rsidRPr="00AA702E">
        <w:rPr>
          <w:i/>
          <w:iCs/>
        </w:rPr>
        <w:t xml:space="preserve">50/2016), la dichiarazione deve essere sottoscritta con firma </w:t>
      </w:r>
      <w:r w:rsidR="00913EAA">
        <w:rPr>
          <w:i/>
          <w:iCs/>
        </w:rPr>
        <w:t>digitale</w:t>
      </w:r>
      <w:r w:rsidRPr="00AA702E">
        <w:rPr>
          <w:i/>
          <w:iCs/>
        </w:rPr>
        <w:t xml:space="preserve"> da </w:t>
      </w:r>
      <w:r w:rsidRPr="00AA702E">
        <w:rPr>
          <w:b/>
          <w:i/>
          <w:iCs/>
        </w:rPr>
        <w:t>tutti</w:t>
      </w:r>
      <w:r w:rsidRPr="00AA702E">
        <w:rPr>
          <w:i/>
          <w:iCs/>
        </w:rPr>
        <w:t xml:space="preserve"> i membri</w:t>
      </w:r>
      <w:r w:rsidR="000B26E7" w:rsidRPr="00AA702E">
        <w:rPr>
          <w:i/>
          <w:iCs/>
        </w:rPr>
        <w:t xml:space="preserve"> compartecipanti</w:t>
      </w:r>
      <w:r w:rsidR="00E31087">
        <w:rPr>
          <w:i/>
          <w:iCs/>
        </w:rPr>
        <w:t xml:space="preserve"> del gruppo</w:t>
      </w:r>
      <w:r w:rsidRPr="00AA702E">
        <w:rPr>
          <w:i/>
          <w:iCs/>
        </w:rPr>
        <w:t>.</w:t>
      </w:r>
    </w:p>
    <w:p w14:paraId="2C9DF409" w14:textId="77777777" w:rsidR="008F4288" w:rsidRPr="00F00E59" w:rsidRDefault="0009102C">
      <w:pPr>
        <w:widowControl w:val="0"/>
        <w:autoSpaceDE w:val="0"/>
        <w:autoSpaceDN w:val="0"/>
        <w:adjustRightInd w:val="0"/>
        <w:spacing w:before="120" w:after="120" w:line="480" w:lineRule="exact"/>
        <w:jc w:val="both"/>
      </w:pPr>
      <w:r>
        <w:t xml:space="preserve"> </w:t>
      </w:r>
    </w:p>
    <w:p w14:paraId="42A7C799" w14:textId="77777777" w:rsidR="008F4288" w:rsidRPr="00F00E59" w:rsidRDefault="008F4288">
      <w:pPr>
        <w:widowControl w:val="0"/>
        <w:autoSpaceDE w:val="0"/>
        <w:autoSpaceDN w:val="0"/>
        <w:adjustRightInd w:val="0"/>
        <w:spacing w:before="120" w:after="120" w:line="480" w:lineRule="exact"/>
        <w:jc w:val="both"/>
      </w:pPr>
    </w:p>
    <w:sectPr w:rsidR="008F4288" w:rsidRPr="00F00E59" w:rsidSect="00201422">
      <w:pgSz w:w="11906" w:h="16838" w:code="9"/>
      <w:pgMar w:top="1418"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63A6" w14:textId="77777777" w:rsidR="00085821" w:rsidRDefault="00085821">
      <w:r>
        <w:separator/>
      </w:r>
    </w:p>
  </w:endnote>
  <w:endnote w:type="continuationSeparator" w:id="0">
    <w:p w14:paraId="21FD7A5B" w14:textId="77777777" w:rsidR="00085821" w:rsidRDefault="0008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ADB3" w14:textId="77777777" w:rsidR="00085821" w:rsidRDefault="00085821">
      <w:r>
        <w:separator/>
      </w:r>
    </w:p>
  </w:footnote>
  <w:footnote w:type="continuationSeparator" w:id="0">
    <w:p w14:paraId="359294E7" w14:textId="77777777" w:rsidR="00085821" w:rsidRDefault="00085821">
      <w:r>
        <w:continuationSeparator/>
      </w:r>
    </w:p>
  </w:footnote>
  <w:footnote w:id="1">
    <w:p w14:paraId="09DCC127" w14:textId="77777777" w:rsidR="00AA702E" w:rsidRPr="00AC45F9" w:rsidRDefault="00AA702E" w:rsidP="00CD2796">
      <w:pPr>
        <w:pStyle w:val="Testonotaapidipagina"/>
        <w:contextualSpacing/>
        <w:jc w:val="both"/>
        <w:rPr>
          <w:sz w:val="16"/>
          <w:szCs w:val="16"/>
        </w:rPr>
      </w:pPr>
      <w:r w:rsidRPr="00AC45F9">
        <w:rPr>
          <w:rStyle w:val="Rimandonotaapidipagina"/>
          <w:sz w:val="16"/>
          <w:szCs w:val="16"/>
        </w:rPr>
        <w:footnoteRef/>
      </w:r>
      <w:r w:rsidRPr="00AC45F9">
        <w:rPr>
          <w:sz w:val="16"/>
          <w:szCs w:val="16"/>
        </w:rPr>
        <w:t xml:space="preserve"> Si riporta di seguito il testo dell’art. 80, commi da 1 a 5, d.lgs. 50/2016</w:t>
      </w:r>
      <w:r w:rsidR="00AC765D" w:rsidRPr="00AC45F9">
        <w:rPr>
          <w:sz w:val="16"/>
          <w:szCs w:val="16"/>
        </w:rPr>
        <w:t xml:space="preserve"> s.m.i.</w:t>
      </w:r>
      <w:r w:rsidR="00BC554F" w:rsidRPr="00AC45F9">
        <w:rPr>
          <w:sz w:val="16"/>
          <w:szCs w:val="16"/>
        </w:rPr>
        <w:t>:</w:t>
      </w:r>
    </w:p>
    <w:p w14:paraId="74EAB47B" w14:textId="77777777" w:rsidR="00AA702E" w:rsidRPr="00AC45F9" w:rsidRDefault="00AA702E" w:rsidP="00CD2796">
      <w:pPr>
        <w:pStyle w:val="Testonotaapidipagina"/>
        <w:contextualSpacing/>
        <w:jc w:val="both"/>
        <w:rPr>
          <w:sz w:val="16"/>
          <w:szCs w:val="16"/>
        </w:rPr>
      </w:pPr>
    </w:p>
    <w:p w14:paraId="5BD39E53" w14:textId="77777777" w:rsidR="004D237A" w:rsidRPr="004D237A" w:rsidRDefault="002021B2" w:rsidP="004D237A">
      <w:pPr>
        <w:pStyle w:val="Testonotaapidipagina"/>
        <w:ind w:left="284" w:right="566"/>
        <w:contextualSpacing/>
        <w:jc w:val="both"/>
        <w:rPr>
          <w:i/>
          <w:sz w:val="16"/>
          <w:szCs w:val="16"/>
        </w:rPr>
      </w:pPr>
      <w:r w:rsidRPr="00AC45F9">
        <w:rPr>
          <w:iCs/>
          <w:sz w:val="16"/>
          <w:szCs w:val="16"/>
        </w:rPr>
        <w:t>“</w:t>
      </w:r>
      <w:r w:rsidR="004D237A" w:rsidRPr="004D237A">
        <w:rPr>
          <w:i/>
          <w:sz w:val="16"/>
          <w:szCs w:val="16"/>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1" w:anchor="444" w:history="1">
        <w:r w:rsidR="004D237A" w:rsidRPr="004D237A">
          <w:rPr>
            <w:i/>
            <w:sz w:val="16"/>
            <w:szCs w:val="16"/>
          </w:rPr>
          <w:t>articolo 444 del codice di procedura penale</w:t>
        </w:r>
      </w:hyperlink>
      <w:r w:rsidR="004D237A" w:rsidRPr="004D237A">
        <w:rPr>
          <w:i/>
          <w:sz w:val="16"/>
          <w:szCs w:val="16"/>
        </w:rPr>
        <w:t>, per uno dei seguenti reati:</w:t>
      </w:r>
      <w:r w:rsidR="004D237A" w:rsidRPr="004D237A">
        <w:rPr>
          <w:i/>
          <w:sz w:val="16"/>
          <w:szCs w:val="16"/>
        </w:rPr>
        <w:br/>
        <w:t>(alinea modificato dall'art. 10, comma 1, della legge n. 238 del 2021)</w:t>
      </w:r>
    </w:p>
    <w:p w14:paraId="3ADAFDB5" w14:textId="77777777" w:rsidR="004D237A" w:rsidRDefault="004D237A" w:rsidP="004D237A">
      <w:pPr>
        <w:pStyle w:val="Testonotaapidipagina"/>
        <w:ind w:left="284" w:right="566"/>
        <w:contextualSpacing/>
        <w:jc w:val="both"/>
        <w:rPr>
          <w:i/>
          <w:sz w:val="16"/>
          <w:szCs w:val="16"/>
        </w:rPr>
      </w:pPr>
      <w:r w:rsidRPr="004D237A">
        <w:rPr>
          <w:i/>
          <w:sz w:val="16"/>
          <w:szCs w:val="16"/>
        </w:rPr>
        <w:t>a) delitti, consumati o tentati, di cui agli </w:t>
      </w:r>
      <w:hyperlink r:id="rId2" w:anchor="416" w:history="1">
        <w:r w:rsidRPr="004D237A">
          <w:rPr>
            <w:i/>
            <w:sz w:val="16"/>
            <w:szCs w:val="16"/>
          </w:rPr>
          <w:t>articoli 416, 416-bis del codice penale</w:t>
        </w:r>
      </w:hyperlink>
      <w:r w:rsidRPr="004D237A">
        <w:rPr>
          <w:i/>
          <w:sz w:val="16"/>
          <w:szCs w:val="16"/>
        </w:rPr>
        <w:t> ovvero delitti commessi avvalendosi delle condizioni previste dal predetto </w:t>
      </w:r>
      <w:hyperlink r:id="rId3" w:anchor="416-bis" w:history="1">
        <w:r w:rsidRPr="004D237A">
          <w:rPr>
            <w:i/>
            <w:sz w:val="16"/>
            <w:szCs w:val="16"/>
          </w:rPr>
          <w:t>articolo 416-bis</w:t>
        </w:r>
      </w:hyperlink>
      <w:r w:rsidRPr="004D237A">
        <w:rPr>
          <w:i/>
          <w:sz w:val="16"/>
          <w:szCs w:val="16"/>
        </w:rPr>
        <w:t> ovvero al fine di agevolare l'attività delle associazioni previste dallo stesso articolo, nonché per i delitti, consumati o tentati, previsti dall'</w:t>
      </w:r>
      <w:hyperlink r:id="rId4" w:anchor="y_1990_0309" w:history="1">
        <w:r w:rsidRPr="004D237A">
          <w:rPr>
            <w:i/>
            <w:sz w:val="16"/>
            <w:szCs w:val="16"/>
          </w:rPr>
          <w:t>articolo 74 del decreto del Presidente della Repubblica 9 ottobre 1990, n. 309</w:t>
        </w:r>
      </w:hyperlink>
      <w:r w:rsidRPr="004D237A">
        <w:rPr>
          <w:i/>
          <w:sz w:val="16"/>
          <w:szCs w:val="16"/>
        </w:rPr>
        <w:t>, dall’</w:t>
      </w:r>
      <w:hyperlink r:id="rId5" w:anchor="y_1973_0043" w:history="1">
        <w:r w:rsidRPr="004D237A">
          <w:rPr>
            <w:i/>
            <w:sz w:val="16"/>
            <w:szCs w:val="16"/>
          </w:rPr>
          <w:t>articolo 291-quater del decreto del Presidente della Repubblica 23 gennaio 1973, n. 43</w:t>
        </w:r>
      </w:hyperlink>
      <w:r w:rsidRPr="004D237A">
        <w:rPr>
          <w:i/>
          <w:sz w:val="16"/>
          <w:szCs w:val="16"/>
        </w:rPr>
        <w:t> e dall'</w:t>
      </w:r>
      <w:hyperlink r:id="rId6" w:anchor="260" w:history="1">
        <w:r w:rsidRPr="004D237A">
          <w:rPr>
            <w:i/>
            <w:sz w:val="16"/>
            <w:szCs w:val="16"/>
          </w:rPr>
          <w:t>articolo 260 del decreto legislativo 3 aprile 2006, n. 152</w:t>
        </w:r>
      </w:hyperlink>
      <w:r w:rsidRPr="004D237A">
        <w:rPr>
          <w:i/>
          <w:sz w:val="16"/>
          <w:szCs w:val="16"/>
        </w:rPr>
        <w:t>, in quanto riconducibili alla partecipazione a un'organizzazione criminale, quale definita all'articolo 2 della decisione quadro 2008/841/GAI del Consiglio;</w:t>
      </w:r>
    </w:p>
    <w:p w14:paraId="28B379EF" w14:textId="77777777" w:rsidR="004D237A" w:rsidRDefault="004D237A" w:rsidP="004D237A">
      <w:pPr>
        <w:pStyle w:val="Testonotaapidipagina"/>
        <w:ind w:left="284" w:right="566"/>
        <w:contextualSpacing/>
        <w:jc w:val="both"/>
        <w:rPr>
          <w:i/>
          <w:sz w:val="16"/>
          <w:szCs w:val="16"/>
        </w:rPr>
      </w:pPr>
      <w:r w:rsidRPr="004D237A">
        <w:rPr>
          <w:i/>
          <w:sz w:val="16"/>
          <w:szCs w:val="16"/>
        </w:rPr>
        <w:t>b) delitti, consumati o tentati, di cui agli </w:t>
      </w:r>
      <w:hyperlink r:id="rId7" w:anchor="317" w:history="1">
        <w:r w:rsidRPr="004D237A">
          <w:rPr>
            <w:i/>
            <w:sz w:val="16"/>
            <w:szCs w:val="16"/>
          </w:rPr>
          <w:t>articoli 317, 318, 319, 319-ter, 319-quater, 320, 321, 322, 322-bis</w:t>
        </w:r>
      </w:hyperlink>
      <w:r w:rsidRPr="004D237A">
        <w:rPr>
          <w:i/>
          <w:sz w:val="16"/>
          <w:szCs w:val="16"/>
        </w:rPr>
        <w:t>, </w:t>
      </w:r>
      <w:hyperlink r:id="rId8" w:anchor="346-bis" w:history="1">
        <w:r w:rsidRPr="004D237A">
          <w:rPr>
            <w:i/>
            <w:sz w:val="16"/>
            <w:szCs w:val="16"/>
          </w:rPr>
          <w:t>346-bis</w:t>
        </w:r>
      </w:hyperlink>
      <w:r w:rsidRPr="004D237A">
        <w:rPr>
          <w:i/>
          <w:sz w:val="16"/>
          <w:szCs w:val="16"/>
        </w:rPr>
        <w:t>, </w:t>
      </w:r>
      <w:hyperlink r:id="rId9" w:anchor="353" w:history="1">
        <w:r w:rsidRPr="004D237A">
          <w:rPr>
            <w:i/>
            <w:sz w:val="16"/>
            <w:szCs w:val="16"/>
          </w:rPr>
          <w:t>353, 353-bis, 354, 355 e 356 del codice penale</w:t>
        </w:r>
      </w:hyperlink>
      <w:r w:rsidRPr="004D237A">
        <w:rPr>
          <w:i/>
          <w:sz w:val="16"/>
          <w:szCs w:val="16"/>
        </w:rPr>
        <w:t> nonché all’</w:t>
      </w:r>
      <w:hyperlink r:id="rId10" w:anchor="2635" w:history="1">
        <w:r w:rsidRPr="004D237A">
          <w:rPr>
            <w:i/>
            <w:sz w:val="16"/>
            <w:szCs w:val="16"/>
          </w:rPr>
          <w:t>articolo 2635 del codice civile</w:t>
        </w:r>
      </w:hyperlink>
      <w:r w:rsidRPr="004D237A">
        <w:rPr>
          <w:i/>
          <w:sz w:val="16"/>
          <w:szCs w:val="16"/>
        </w:rPr>
        <w:t>;</w:t>
      </w:r>
    </w:p>
    <w:p w14:paraId="7D3AC053" w14:textId="77777777" w:rsidR="004D237A" w:rsidRDefault="004D237A" w:rsidP="004D237A">
      <w:pPr>
        <w:pStyle w:val="Testonotaapidipagina"/>
        <w:ind w:left="284" w:right="566"/>
        <w:contextualSpacing/>
        <w:jc w:val="both"/>
        <w:rPr>
          <w:i/>
          <w:sz w:val="16"/>
          <w:szCs w:val="16"/>
        </w:rPr>
      </w:pPr>
      <w:r w:rsidRPr="004D237A">
        <w:rPr>
          <w:i/>
          <w:sz w:val="16"/>
          <w:szCs w:val="16"/>
        </w:rPr>
        <w:t>b-bis) false comunicazioni sociali di cui agli </w:t>
      </w:r>
      <w:hyperlink r:id="rId11" w:anchor="2621" w:history="1">
        <w:r w:rsidRPr="004D237A">
          <w:rPr>
            <w:i/>
            <w:sz w:val="16"/>
            <w:szCs w:val="16"/>
          </w:rPr>
          <w:t xml:space="preserve">articoli 2621 e 2622 del </w:t>
        </w:r>
        <w:proofErr w:type="gramStart"/>
        <w:r w:rsidRPr="004D237A">
          <w:rPr>
            <w:i/>
            <w:sz w:val="16"/>
            <w:szCs w:val="16"/>
          </w:rPr>
          <w:t>codice civile</w:t>
        </w:r>
        <w:proofErr w:type="gramEnd"/>
      </w:hyperlink>
      <w:r w:rsidRPr="004D237A">
        <w:rPr>
          <w:i/>
          <w:sz w:val="16"/>
          <w:szCs w:val="16"/>
        </w:rPr>
        <w:t>;</w:t>
      </w:r>
    </w:p>
    <w:p w14:paraId="5A6AAF13" w14:textId="77777777" w:rsidR="004D237A" w:rsidRDefault="004D237A" w:rsidP="004D237A">
      <w:pPr>
        <w:pStyle w:val="Testonotaapidipagina"/>
        <w:ind w:left="284" w:right="566"/>
        <w:contextualSpacing/>
        <w:jc w:val="both"/>
        <w:rPr>
          <w:i/>
          <w:sz w:val="16"/>
          <w:szCs w:val="16"/>
        </w:rPr>
      </w:pPr>
      <w:r w:rsidRPr="004D237A">
        <w:rPr>
          <w:i/>
          <w:sz w:val="16"/>
          <w:szCs w:val="16"/>
        </w:rPr>
        <w:t>c) frode ai sensi dell'articolo 1 della convenzione relativa alla tutela degli interessi finanziari delle Comunità europee;</w:t>
      </w:r>
      <w:r w:rsidRPr="004D237A">
        <w:rPr>
          <w:i/>
          <w:sz w:val="16"/>
          <w:szCs w:val="16"/>
        </w:rPr>
        <w:br/>
        <w:t>d) delitti, consumati o tentati, commessi con finalità di terrorismo, anche internazionale, e di eversione dell'ordine costituzionale reati terroristici o reati connessi alle attività terroristiche;</w:t>
      </w:r>
    </w:p>
    <w:p w14:paraId="606DB826" w14:textId="49CB5494" w:rsidR="004D237A" w:rsidRPr="004D237A" w:rsidRDefault="004D237A" w:rsidP="004D237A">
      <w:pPr>
        <w:pStyle w:val="Testonotaapidipagina"/>
        <w:ind w:left="284" w:right="566"/>
        <w:contextualSpacing/>
        <w:jc w:val="both"/>
        <w:rPr>
          <w:i/>
          <w:sz w:val="16"/>
          <w:szCs w:val="16"/>
        </w:rPr>
      </w:pPr>
      <w:r w:rsidRPr="004D237A">
        <w:rPr>
          <w:i/>
          <w:sz w:val="16"/>
          <w:szCs w:val="16"/>
        </w:rPr>
        <w:t>e) delitti di cui agli </w:t>
      </w:r>
      <w:hyperlink r:id="rId12" w:anchor="648-bis" w:history="1">
        <w:r w:rsidRPr="004D237A">
          <w:rPr>
            <w:i/>
            <w:sz w:val="16"/>
            <w:szCs w:val="16"/>
          </w:rPr>
          <w:t>articoli 648-bis, 648-ter e 648-ter.1 del codice penale</w:t>
        </w:r>
      </w:hyperlink>
      <w:r w:rsidRPr="004D237A">
        <w:rPr>
          <w:i/>
          <w:sz w:val="16"/>
          <w:szCs w:val="16"/>
        </w:rPr>
        <w:t>, riciclaggio di proventi di attività criminose o finanziamento del terrorismo, quali definiti all'</w:t>
      </w:r>
      <w:hyperlink r:id="rId13" w:anchor="y_2007_0109" w:history="1">
        <w:r w:rsidRPr="004D237A">
          <w:rPr>
            <w:i/>
            <w:sz w:val="16"/>
            <w:szCs w:val="16"/>
          </w:rPr>
          <w:t>articolo 1 del decreto legislativo 22 giugno 2007, n. 109</w:t>
        </w:r>
      </w:hyperlink>
      <w:r w:rsidRPr="004D237A">
        <w:rPr>
          <w:i/>
          <w:sz w:val="16"/>
          <w:szCs w:val="16"/>
        </w:rPr>
        <w:t> e successive modificazioni;</w:t>
      </w:r>
      <w:r w:rsidRPr="004D237A">
        <w:rPr>
          <w:i/>
          <w:sz w:val="16"/>
          <w:szCs w:val="16"/>
        </w:rPr>
        <w:br/>
        <w:t>f) sfruttamento del lavoro minorile e altre forme di tratta di esseri umani definite con il decreto legislativo 4 marzo 2014, n. 24;</w:t>
      </w:r>
      <w:r w:rsidRPr="004D237A">
        <w:rPr>
          <w:i/>
          <w:sz w:val="16"/>
          <w:szCs w:val="16"/>
        </w:rPr>
        <w:br/>
        <w:t>g) ogni altro delitto da cui derivi, quale pena accessoria, l'incapacità di contrattare con la pubblica amministrazione.</w:t>
      </w:r>
    </w:p>
    <w:p w14:paraId="6C3E6AD6"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2. Costituisce altresì motivo di esclusione la sussistenza, con riferimento ai soggetti indicati al comma 3, di cause di decadenza, di sospensione o di divieto previste dall'</w:t>
      </w:r>
      <w:hyperlink r:id="rId14" w:anchor="067" w:history="1">
        <w:r w:rsidRPr="004D237A">
          <w:rPr>
            <w:i/>
            <w:sz w:val="16"/>
            <w:szCs w:val="16"/>
          </w:rPr>
          <w:t>articolo 67 del decreto legislativo 6 settembre 2011, n. 159</w:t>
        </w:r>
      </w:hyperlink>
      <w:r w:rsidRPr="004D237A">
        <w:rPr>
          <w:i/>
          <w:sz w:val="16"/>
          <w:szCs w:val="16"/>
        </w:rPr>
        <w:t> o di un tentativo di infiltrazione mafiosa di cui all'</w:t>
      </w:r>
      <w:hyperlink r:id="rId15" w:anchor="084" w:history="1">
        <w:r w:rsidRPr="004D237A">
          <w:rPr>
            <w:i/>
            <w:sz w:val="16"/>
            <w:szCs w:val="16"/>
          </w:rPr>
          <w:t>articolo 84, comma 4, del medesimo decreto</w:t>
        </w:r>
      </w:hyperlink>
      <w:r w:rsidRPr="004D237A">
        <w:rPr>
          <w:i/>
          <w:sz w:val="16"/>
          <w:szCs w:val="16"/>
        </w:rPr>
        <w:t>. Resta fermo quanto previsto dagli </w:t>
      </w:r>
      <w:hyperlink r:id="rId16" w:anchor="088" w:history="1">
        <w:r w:rsidRPr="004D237A">
          <w:rPr>
            <w:i/>
            <w:sz w:val="16"/>
            <w:szCs w:val="16"/>
          </w:rPr>
          <w:t>articoli 88, comma 4-bis</w:t>
        </w:r>
      </w:hyperlink>
      <w:r w:rsidRPr="004D237A">
        <w:rPr>
          <w:i/>
          <w:sz w:val="16"/>
          <w:szCs w:val="16"/>
        </w:rPr>
        <w:t>, e </w:t>
      </w:r>
      <w:hyperlink r:id="rId17" w:anchor="092" w:history="1">
        <w:r w:rsidRPr="004D237A">
          <w:rPr>
            <w:i/>
            <w:sz w:val="16"/>
            <w:szCs w:val="16"/>
          </w:rPr>
          <w:t>92, commi 2 e 3, del decreto legislativo 6 settembre 2011, n. 159</w:t>
        </w:r>
      </w:hyperlink>
      <w:r w:rsidRPr="004D237A">
        <w:rPr>
          <w:i/>
          <w:sz w:val="16"/>
          <w:szCs w:val="16"/>
        </w:rPr>
        <w:t>, con riferimento rispettivamente alle comunicazioni antimafia e alle informazioni antimafia. Resta fermo altresì quanto previsto dall’</w:t>
      </w:r>
      <w:hyperlink r:id="rId18" w:anchor="034-bis" w:history="1">
        <w:r w:rsidRPr="004D237A">
          <w:rPr>
            <w:i/>
            <w:sz w:val="16"/>
            <w:szCs w:val="16"/>
          </w:rPr>
          <w:t>articolo 34-bis, commi 6 e 7, del decreto legislativo 6 settembre 2011, n. 159</w:t>
        </w:r>
      </w:hyperlink>
      <w:r w:rsidRPr="004D237A">
        <w:rPr>
          <w:i/>
          <w:sz w:val="16"/>
          <w:szCs w:val="16"/>
        </w:rPr>
        <w:t>.</w:t>
      </w:r>
      <w:r w:rsidRPr="004D237A">
        <w:rPr>
          <w:i/>
          <w:sz w:val="16"/>
          <w:szCs w:val="16"/>
        </w:rPr>
        <w:br/>
        <w:t>(comma così modificato dall'art. 1, comma 20, lett. o), della legge n. 55 del 2019)</w:t>
      </w:r>
    </w:p>
    <w:p w14:paraId="544C5302" w14:textId="77777777" w:rsidR="00C60837" w:rsidRDefault="004D237A" w:rsidP="004D237A">
      <w:pPr>
        <w:pStyle w:val="Testonotaapidipagina"/>
        <w:ind w:left="284" w:right="566"/>
        <w:contextualSpacing/>
        <w:jc w:val="both"/>
        <w:rPr>
          <w:i/>
          <w:sz w:val="16"/>
          <w:szCs w:val="16"/>
        </w:rPr>
      </w:pPr>
      <w:r w:rsidRPr="004D237A">
        <w:rPr>
          <w:i/>
          <w:sz w:val="16"/>
          <w:szCs w:val="16"/>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19" w:anchor="179" w:history="1">
        <w:r w:rsidRPr="004D237A">
          <w:rPr>
            <w:i/>
            <w:sz w:val="16"/>
            <w:szCs w:val="16"/>
          </w:rPr>
          <w:t>articolo 179, settimo comma, del codice penale</w:t>
        </w:r>
      </w:hyperlink>
      <w:r w:rsidRPr="004D237A">
        <w:rPr>
          <w:i/>
          <w:sz w:val="16"/>
          <w:szCs w:val="16"/>
        </w:rPr>
        <w:t> ovvero quando il reato è stato dichiarato estinto dopo la condanna ovvero in caso di revoca della condanna medesima.</w:t>
      </w:r>
    </w:p>
    <w:p w14:paraId="31957633" w14:textId="0F194554" w:rsidR="004D237A" w:rsidRPr="004D237A" w:rsidRDefault="004D237A" w:rsidP="004D237A">
      <w:pPr>
        <w:pStyle w:val="Testonotaapidipagina"/>
        <w:ind w:left="284" w:right="566"/>
        <w:contextualSpacing/>
        <w:jc w:val="both"/>
        <w:rPr>
          <w:i/>
          <w:sz w:val="16"/>
          <w:szCs w:val="16"/>
        </w:rPr>
      </w:pPr>
      <w:r w:rsidRPr="004D237A">
        <w:rPr>
          <w:i/>
          <w:sz w:val="16"/>
          <w:szCs w:val="16"/>
        </w:rPr>
        <w:t>(comma così modificato dall'art. 1, comma 20, lett. o), della legge n. 55 del 2019)</w:t>
      </w:r>
    </w:p>
    <w:p w14:paraId="30E400C0" w14:textId="77777777" w:rsidR="00C60837" w:rsidRDefault="004D237A" w:rsidP="004D237A">
      <w:pPr>
        <w:pStyle w:val="Testonotaapidipagina"/>
        <w:ind w:left="284" w:right="566"/>
        <w:contextualSpacing/>
        <w:jc w:val="both"/>
        <w:rPr>
          <w:i/>
          <w:sz w:val="16"/>
          <w:szCs w:val="16"/>
        </w:rPr>
      </w:pPr>
      <w:r w:rsidRPr="004D237A">
        <w:rPr>
          <w:i/>
          <w:sz w:val="16"/>
          <w:szCs w:val="16"/>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20" w:anchor="02" w:history="1">
        <w:r w:rsidRPr="004D237A">
          <w:rPr>
            <w:i/>
            <w:sz w:val="16"/>
            <w:szCs w:val="16"/>
          </w:rPr>
          <w:t>articolo 48-bis, commi 1 e 2-bis, del decreto del Presidente della Repubblica 29 settembre 1973, n. 602</w:t>
        </w:r>
      </w:hyperlink>
      <w:r w:rsidRPr="004D237A">
        <w:rPr>
          <w:i/>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hyperlink r:id="rId21" w:anchor="08" w:history="1">
        <w:r w:rsidRPr="004D237A">
          <w:rPr>
            <w:i/>
            <w:sz w:val="16"/>
            <w:szCs w:val="16"/>
          </w:rPr>
          <w:t>articolo 8 del decreto del Ministero del lavoro e delle politiche sociali 30 gennaio 2015, pubblicato sulla Gazzetta Ufficiale n. 125 del 1° giugno 2015</w:t>
        </w:r>
      </w:hyperlink>
      <w:r w:rsidRPr="004D237A">
        <w:rPr>
          <w:i/>
          <w:sz w:val="16"/>
          <w:szCs w:val="16"/>
        </w:rPr>
        <w:t>,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contributiva e previdenziale s’intendono quelle di cui al quarto periodo.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4DE45014" w14:textId="35FD9121" w:rsidR="004D237A" w:rsidRPr="004D237A" w:rsidRDefault="004D237A" w:rsidP="004D237A">
      <w:pPr>
        <w:pStyle w:val="Testonotaapidipagina"/>
        <w:ind w:left="284" w:right="566"/>
        <w:contextualSpacing/>
        <w:jc w:val="both"/>
        <w:rPr>
          <w:i/>
          <w:sz w:val="16"/>
          <w:szCs w:val="16"/>
        </w:rPr>
      </w:pPr>
      <w:r w:rsidRPr="004D237A">
        <w:rPr>
          <w:i/>
          <w:sz w:val="16"/>
          <w:szCs w:val="16"/>
        </w:rPr>
        <w:t>(comma modificato dall'art. 8, comma 5, lettera b), della legge n. 120 del 2020, poi dall'art. 10, comma 1, della legge n. 238 del 2021)</w:t>
      </w:r>
    </w:p>
    <w:p w14:paraId="4AE0E908" w14:textId="77777777" w:rsidR="004D237A" w:rsidRPr="004D237A" w:rsidRDefault="004D237A" w:rsidP="004D237A">
      <w:pPr>
        <w:pStyle w:val="Testonotaapidipagina"/>
        <w:ind w:left="284" w:right="566"/>
        <w:contextualSpacing/>
        <w:jc w:val="both"/>
        <w:rPr>
          <w:i/>
          <w:sz w:val="16"/>
          <w:szCs w:val="16"/>
        </w:rPr>
      </w:pPr>
      <w:bookmarkStart w:id="0" w:name="080.5"/>
      <w:r w:rsidRPr="004D237A">
        <w:rPr>
          <w:i/>
          <w:sz w:val="16"/>
          <w:szCs w:val="16"/>
        </w:rPr>
        <w:t>5</w:t>
      </w:r>
      <w:bookmarkEnd w:id="0"/>
      <w:r w:rsidRPr="004D237A">
        <w:rPr>
          <w:i/>
          <w:sz w:val="16"/>
          <w:szCs w:val="16"/>
        </w:rPr>
        <w:t>. Le stazioni appaltanti escludono dalla partecipazione alla procedura d'appalto un operatore economico in una delle seguenti situazioni, qualora:</w:t>
      </w:r>
      <w:r w:rsidRPr="004D237A">
        <w:rPr>
          <w:i/>
          <w:sz w:val="16"/>
          <w:szCs w:val="16"/>
        </w:rPr>
        <w:br/>
        <w:t>(comma così modificato dall'art. 10, comma 1, lettera b), della legge n 238 del 2021)</w:t>
      </w:r>
    </w:p>
    <w:p w14:paraId="5A5C8088" w14:textId="77777777" w:rsidR="00C60837" w:rsidRDefault="004D237A" w:rsidP="004D237A">
      <w:pPr>
        <w:pStyle w:val="Testonotaapidipagina"/>
        <w:ind w:left="284" w:right="566"/>
        <w:contextualSpacing/>
        <w:jc w:val="both"/>
        <w:rPr>
          <w:i/>
          <w:sz w:val="16"/>
          <w:szCs w:val="16"/>
        </w:rPr>
      </w:pPr>
      <w:r w:rsidRPr="004D237A">
        <w:rPr>
          <w:i/>
          <w:sz w:val="16"/>
          <w:szCs w:val="16"/>
        </w:rPr>
        <w:t>a) la stazione appaltante possa dimostrare con qualunque mezzo adeguato la presenza di gravi infrazioni debitamente accertate alle norme in materia di salute e sicurezza sul lavoro nonché agli obblighi di cui all'</w:t>
      </w:r>
      <w:hyperlink r:id="rId22" w:anchor="030" w:history="1">
        <w:r w:rsidRPr="004D237A">
          <w:rPr>
            <w:i/>
            <w:sz w:val="16"/>
            <w:szCs w:val="16"/>
          </w:rPr>
          <w:t>articolo 30, comma 3</w:t>
        </w:r>
      </w:hyperlink>
      <w:r w:rsidRPr="004D237A">
        <w:rPr>
          <w:i/>
          <w:sz w:val="16"/>
          <w:szCs w:val="16"/>
        </w:rPr>
        <w:t> del presente codice;</w:t>
      </w:r>
      <w:r w:rsidRPr="004D237A">
        <w:rPr>
          <w:i/>
          <w:sz w:val="16"/>
          <w:szCs w:val="16"/>
        </w:rPr>
        <w:b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hyperlink r:id="rId23" w:anchor="110" w:history="1">
        <w:r w:rsidRPr="004D237A">
          <w:rPr>
            <w:i/>
            <w:sz w:val="16"/>
            <w:szCs w:val="16"/>
          </w:rPr>
          <w:t>articolo 110</w:t>
        </w:r>
      </w:hyperlink>
      <w:r w:rsidRPr="004D237A">
        <w:rPr>
          <w:i/>
          <w:sz w:val="16"/>
          <w:szCs w:val="16"/>
        </w:rPr>
        <w:t>;</w:t>
      </w:r>
    </w:p>
    <w:p w14:paraId="3158A29C" w14:textId="29BBDA6B" w:rsidR="004D237A" w:rsidRPr="004D237A" w:rsidRDefault="004D237A" w:rsidP="004D237A">
      <w:pPr>
        <w:pStyle w:val="Testonotaapidipagina"/>
        <w:ind w:left="284" w:right="566"/>
        <w:contextualSpacing/>
        <w:jc w:val="both"/>
        <w:rPr>
          <w:i/>
          <w:sz w:val="16"/>
          <w:szCs w:val="16"/>
        </w:rPr>
      </w:pPr>
      <w:r w:rsidRPr="004D237A">
        <w:rPr>
          <w:i/>
          <w:sz w:val="16"/>
          <w:szCs w:val="16"/>
        </w:rPr>
        <w:t>(lettera sostituita dall'art. 1, comma 20, lett. o), della legge n. 55 del 2019; poi dall'art. 372, comma 1, del decreto legislativo n. 14 del 2019, attuazione della delega conferita dall'art. 1 della legge n. 155 del 2017)</w:t>
      </w:r>
    </w:p>
    <w:p w14:paraId="54E526DB" w14:textId="77777777" w:rsidR="00C60837" w:rsidRDefault="004D237A" w:rsidP="004D237A">
      <w:pPr>
        <w:pStyle w:val="Testonotaapidipagina"/>
        <w:ind w:left="284" w:right="566"/>
        <w:contextualSpacing/>
        <w:jc w:val="both"/>
        <w:rPr>
          <w:i/>
          <w:sz w:val="16"/>
          <w:szCs w:val="16"/>
        </w:rPr>
      </w:pPr>
      <w:r w:rsidRPr="004D237A">
        <w:rPr>
          <w:i/>
          <w:sz w:val="16"/>
          <w:szCs w:val="16"/>
        </w:rPr>
        <w:t>c) la stazione appaltante dimostri con mezzi adeguati che l'operatore economico si è reso colpevole di gravi illeciti professionali, tali da rendere dubbia la sua integrità o affidabilità;</w:t>
      </w:r>
    </w:p>
    <w:p w14:paraId="47A94B7C" w14:textId="77777777" w:rsidR="00C60837" w:rsidRDefault="004D237A" w:rsidP="004D237A">
      <w:pPr>
        <w:pStyle w:val="Testonotaapidipagina"/>
        <w:ind w:left="284" w:right="566"/>
        <w:contextualSpacing/>
        <w:jc w:val="both"/>
        <w:rPr>
          <w:i/>
          <w:sz w:val="16"/>
          <w:szCs w:val="16"/>
        </w:rPr>
      </w:pPr>
      <w:r w:rsidRPr="004D237A">
        <w:rPr>
          <w:i/>
          <w:sz w:val="16"/>
          <w:szCs w:val="16"/>
        </w:rPr>
        <w:t>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3063182F" w14:textId="44C1A199" w:rsidR="004D237A" w:rsidRPr="004D237A" w:rsidRDefault="004D237A" w:rsidP="004D237A">
      <w:pPr>
        <w:pStyle w:val="Testonotaapidipagina"/>
        <w:ind w:left="284" w:right="566"/>
        <w:contextualSpacing/>
        <w:jc w:val="both"/>
        <w:rPr>
          <w:i/>
          <w:sz w:val="16"/>
          <w:szCs w:val="16"/>
        </w:rPr>
      </w:pPr>
      <w:r w:rsidRPr="004D237A">
        <w:rPr>
          <w:i/>
          <w:sz w:val="16"/>
          <w:szCs w:val="16"/>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4A390EC"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(lettera c) sostituita dalle lettere c), c-bis) e c-ter) dall'art. 5 del decreto-legge n. 135 del 2018, convertito nella legge n. 12 del 2019)</w:t>
      </w:r>
    </w:p>
    <w:p w14:paraId="5587D509" w14:textId="77777777" w:rsidR="00C60837" w:rsidRDefault="004D237A" w:rsidP="004D237A">
      <w:pPr>
        <w:pStyle w:val="Testonotaapidipagina"/>
        <w:ind w:left="284" w:right="566"/>
        <w:contextualSpacing/>
        <w:jc w:val="both"/>
        <w:rPr>
          <w:i/>
          <w:sz w:val="16"/>
          <w:szCs w:val="16"/>
        </w:rPr>
      </w:pPr>
      <w:r w:rsidRPr="004D237A">
        <w:rPr>
          <w:i/>
          <w:sz w:val="16"/>
          <w:szCs w:val="16"/>
        </w:rPr>
        <w:t>c-quater) l’operatore economico abbia commesso grave inadempimento nei confronti di uno o più subappaltatori, riconosciuto o accertato con sentenza passata in giudicato;</w:t>
      </w:r>
    </w:p>
    <w:p w14:paraId="3223C780" w14:textId="77777777" w:rsidR="00C60837" w:rsidRDefault="004D237A" w:rsidP="004D237A">
      <w:pPr>
        <w:pStyle w:val="Testonotaapidipagina"/>
        <w:ind w:left="284" w:right="566"/>
        <w:contextualSpacing/>
        <w:jc w:val="both"/>
        <w:rPr>
          <w:i/>
          <w:sz w:val="16"/>
          <w:szCs w:val="16"/>
        </w:rPr>
      </w:pPr>
      <w:r w:rsidRPr="004D237A">
        <w:rPr>
          <w:i/>
          <w:sz w:val="16"/>
          <w:szCs w:val="16"/>
        </w:rPr>
        <w:t>(si vedano le </w:t>
      </w:r>
      <w:hyperlink r:id="rId24" w:tgtFrame="_blank" w:history="1">
        <w:r w:rsidRPr="004D237A">
          <w:rPr>
            <w:i/>
            <w:sz w:val="16"/>
            <w:szCs w:val="16"/>
          </w:rPr>
          <w:t>Linee guida n. 6 di ANAC</w:t>
        </w:r>
      </w:hyperlink>
      <w:r w:rsidRPr="004D237A">
        <w:rPr>
          <w:i/>
          <w:sz w:val="16"/>
          <w:szCs w:val="16"/>
        </w:rPr>
        <w:t>)</w:t>
      </w:r>
    </w:p>
    <w:p w14:paraId="71FBA35E" w14:textId="21A95A16" w:rsidR="004D237A" w:rsidRPr="004D237A" w:rsidRDefault="004D237A" w:rsidP="004D237A">
      <w:pPr>
        <w:pStyle w:val="Testonotaapidipagina"/>
        <w:ind w:left="284" w:right="566"/>
        <w:contextualSpacing/>
        <w:jc w:val="both"/>
        <w:rPr>
          <w:i/>
          <w:sz w:val="16"/>
          <w:szCs w:val="16"/>
        </w:rPr>
      </w:pPr>
      <w:r w:rsidRPr="004D237A">
        <w:rPr>
          <w:i/>
          <w:sz w:val="16"/>
          <w:szCs w:val="16"/>
        </w:rPr>
        <w:t>(lettera introdotta dall'art. 1, comma 20, lettera o), della legge n. 55 del 2019)</w:t>
      </w:r>
    </w:p>
    <w:p w14:paraId="5DB75418"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d) la partecipazione dell'operatore economico determini una situazione di conflitto di interesse ai sensi dell'</w:t>
      </w:r>
      <w:hyperlink r:id="rId25" w:anchor="042" w:history="1">
        <w:r w:rsidRPr="004D237A">
          <w:rPr>
            <w:i/>
            <w:sz w:val="16"/>
            <w:szCs w:val="16"/>
          </w:rPr>
          <w:t>articolo 42, comma 2</w:t>
        </w:r>
      </w:hyperlink>
      <w:r w:rsidRPr="004D237A">
        <w:rPr>
          <w:i/>
          <w:sz w:val="16"/>
          <w:szCs w:val="16"/>
        </w:rPr>
        <w:t>, non diversamente risolvibile;</w:t>
      </w:r>
    </w:p>
    <w:p w14:paraId="5D21FBCD"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e) una distorsione della concorrenza derivante dal precedente coinvolgimento degli operatori economici nella preparazione della procedura d'appalto di cui all'</w:t>
      </w:r>
      <w:hyperlink r:id="rId26" w:anchor="067" w:history="1">
        <w:r w:rsidRPr="004D237A">
          <w:rPr>
            <w:i/>
            <w:sz w:val="16"/>
            <w:szCs w:val="16"/>
          </w:rPr>
          <w:t>articolo 67</w:t>
        </w:r>
      </w:hyperlink>
      <w:r w:rsidRPr="004D237A">
        <w:rPr>
          <w:i/>
          <w:sz w:val="16"/>
          <w:szCs w:val="16"/>
        </w:rPr>
        <w:t> non possa essere risolta con misure meno intrusive;</w:t>
      </w:r>
    </w:p>
    <w:p w14:paraId="6BF87157" w14:textId="77777777" w:rsidR="00C60837" w:rsidRDefault="004D237A" w:rsidP="004D237A">
      <w:pPr>
        <w:pStyle w:val="Testonotaapidipagina"/>
        <w:ind w:left="284" w:right="566"/>
        <w:contextualSpacing/>
        <w:jc w:val="both"/>
        <w:rPr>
          <w:i/>
          <w:sz w:val="16"/>
          <w:szCs w:val="16"/>
        </w:rPr>
      </w:pPr>
      <w:r w:rsidRPr="004D237A">
        <w:rPr>
          <w:i/>
          <w:sz w:val="16"/>
          <w:szCs w:val="16"/>
        </w:rPr>
        <w:t>f) l'operatore economico sia stato soggetto alla sanzione interdittiva di cui all'</w:t>
      </w:r>
      <w:hyperlink r:id="rId27" w:anchor="09" w:history="1">
        <w:r w:rsidRPr="004D237A">
          <w:rPr>
            <w:i/>
            <w:sz w:val="16"/>
            <w:szCs w:val="16"/>
          </w:rPr>
          <w:t>articolo 9, comma 2, lettera c) del decreto legislativo 8 giugno 2001, n. 231</w:t>
        </w:r>
      </w:hyperlink>
      <w:r w:rsidRPr="004D237A">
        <w:rPr>
          <w:i/>
          <w:sz w:val="16"/>
          <w:szCs w:val="16"/>
        </w:rPr>
        <w:t> o ad altra sanzione che comporta il divieto di contrarre con la pubblica amministrazione, compresi i provvedimenti interdittivi di cui all'</w:t>
      </w:r>
      <w:hyperlink r:id="rId28" w:anchor="014" w:history="1">
        <w:r w:rsidRPr="004D237A">
          <w:rPr>
            <w:i/>
            <w:sz w:val="16"/>
            <w:szCs w:val="16"/>
          </w:rPr>
          <w:t>articolo 14 del decreto legislativo 9 aprile 2008, n. 81</w:t>
        </w:r>
      </w:hyperlink>
      <w:r w:rsidRPr="004D237A">
        <w:rPr>
          <w:i/>
          <w:sz w:val="16"/>
          <w:szCs w:val="16"/>
        </w:rPr>
        <w:t>;</w:t>
      </w:r>
    </w:p>
    <w:p w14:paraId="7EB0CFE3" w14:textId="77777777" w:rsidR="00C60837" w:rsidRDefault="004D237A" w:rsidP="004D237A">
      <w:pPr>
        <w:pStyle w:val="Testonotaapidipagina"/>
        <w:ind w:left="284" w:right="566"/>
        <w:contextualSpacing/>
        <w:jc w:val="both"/>
        <w:rPr>
          <w:i/>
          <w:sz w:val="16"/>
          <w:szCs w:val="16"/>
        </w:rPr>
      </w:pPr>
      <w:r w:rsidRPr="004D237A">
        <w:rPr>
          <w:i/>
          <w:sz w:val="16"/>
          <w:szCs w:val="16"/>
        </w:rPr>
        <w:t>f-bis) l’operatore economico che presenti nella procedura di gara in corso e negli affidamenti di subappalti documentazione o dichiarazioni non veritiere;</w:t>
      </w:r>
    </w:p>
    <w:p w14:paraId="7BC5D491" w14:textId="602423BC" w:rsidR="004D237A" w:rsidRPr="004D237A" w:rsidRDefault="004D237A" w:rsidP="004D237A">
      <w:pPr>
        <w:pStyle w:val="Testonotaapidipagina"/>
        <w:ind w:left="284" w:right="566"/>
        <w:contextualSpacing/>
        <w:jc w:val="both"/>
        <w:rPr>
          <w:i/>
          <w:sz w:val="16"/>
          <w:szCs w:val="16"/>
        </w:rPr>
      </w:pPr>
      <w:r w:rsidRPr="004D237A">
        <w:rPr>
          <w:i/>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78AA7F"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0331B2AA"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h) l'operatore economico abbia violato il divieto di intestazione fiduciaria di cui all'</w:t>
      </w:r>
      <w:hyperlink r:id="rId29" w:anchor="17" w:history="1">
        <w:r w:rsidRPr="004D237A">
          <w:rPr>
            <w:i/>
            <w:sz w:val="16"/>
            <w:szCs w:val="16"/>
          </w:rPr>
          <w:t>articolo 17 della legge 19 marzo 1990, n. 55</w:t>
        </w:r>
      </w:hyperlink>
      <w:r w:rsidRPr="004D237A">
        <w:rPr>
          <w:i/>
          <w:sz w:val="16"/>
          <w:szCs w:val="16"/>
        </w:rPr>
        <w:t>. L'esclusione ha durata di un anno decorrente dall'accertamento definitivo della violazione e va comunque disposta se la violazione non è stata rimossa;</w:t>
      </w:r>
    </w:p>
    <w:p w14:paraId="249FE639"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i) l'operatore economico non presenti la certificazione di cui all'</w:t>
      </w:r>
      <w:hyperlink r:id="rId30" w:anchor="17" w:history="1">
        <w:r w:rsidRPr="004D237A">
          <w:rPr>
            <w:i/>
            <w:sz w:val="16"/>
            <w:szCs w:val="16"/>
          </w:rPr>
          <w:t>articolo 17 della legge 12 marzo 1999, n. 68</w:t>
        </w:r>
      </w:hyperlink>
      <w:r w:rsidRPr="004D237A">
        <w:rPr>
          <w:i/>
          <w:sz w:val="16"/>
          <w:szCs w:val="16"/>
        </w:rPr>
        <w:t>, ovvero non autocertifichi la sussistenza del medesimo requisito;</w:t>
      </w:r>
    </w:p>
    <w:p w14:paraId="254FD09C" w14:textId="77777777" w:rsidR="004D237A" w:rsidRPr="004D237A" w:rsidRDefault="004D237A" w:rsidP="004D237A">
      <w:pPr>
        <w:pStyle w:val="Testonotaapidipagina"/>
        <w:ind w:left="284" w:right="566"/>
        <w:contextualSpacing/>
        <w:jc w:val="both"/>
        <w:rPr>
          <w:i/>
          <w:sz w:val="16"/>
          <w:szCs w:val="16"/>
        </w:rPr>
      </w:pPr>
      <w:r w:rsidRPr="004D237A">
        <w:rPr>
          <w:i/>
          <w:sz w:val="16"/>
          <w:szCs w:val="16"/>
        </w:rPr>
        <w:t>l) l'operatore economico che, pur essendo stato vittima dei reati previsti e puniti dagli </w:t>
      </w:r>
      <w:hyperlink r:id="rId31" w:anchor="317" w:history="1">
        <w:r w:rsidRPr="004D237A">
          <w:rPr>
            <w:i/>
            <w:sz w:val="16"/>
            <w:szCs w:val="16"/>
          </w:rPr>
          <w:t>articoli 317</w:t>
        </w:r>
      </w:hyperlink>
      <w:r w:rsidRPr="004D237A">
        <w:rPr>
          <w:i/>
          <w:sz w:val="16"/>
          <w:szCs w:val="16"/>
        </w:rPr>
        <w:t> e </w:t>
      </w:r>
      <w:hyperlink r:id="rId32" w:anchor="629" w:history="1">
        <w:r w:rsidRPr="004D237A">
          <w:rPr>
            <w:i/>
            <w:sz w:val="16"/>
            <w:szCs w:val="16"/>
          </w:rPr>
          <w:t>629 del codice penale</w:t>
        </w:r>
      </w:hyperlink>
      <w:r w:rsidRPr="004D237A">
        <w:rPr>
          <w:i/>
          <w:sz w:val="16"/>
          <w:szCs w:val="16"/>
        </w:rPr>
        <w:t> aggravati ai sensi dell'articolo 7 del decreto-legge 13 maggio 1991, n. 152, convertito, con modificazioni, dalla legge 12 luglio 1991, n. 203 (norma abrogata dall'art. 7 del d.lgs. n. 21 del 2018; ora il riferimento è all'</w:t>
      </w:r>
      <w:hyperlink r:id="rId33" w:anchor="416-ter" w:history="1">
        <w:r w:rsidRPr="004D237A">
          <w:rPr>
            <w:i/>
            <w:sz w:val="16"/>
            <w:szCs w:val="16"/>
          </w:rPr>
          <w:t>art. 416-bis.1 del codice penale</w:t>
        </w:r>
      </w:hyperlink>
      <w:r w:rsidRPr="004D237A">
        <w:rPr>
          <w:i/>
          <w:sz w:val="16"/>
          <w:szCs w:val="16"/>
        </w:rPr>
        <w:t> - n.d.r.), non risulti aver denunciato i fatti all'autorità giudiziaria, salvo che ricorrano i casi previsti dall'</w:t>
      </w:r>
      <w:hyperlink r:id="rId34" w:anchor="004" w:history="1">
        <w:r w:rsidRPr="004D237A">
          <w:rPr>
            <w:i/>
            <w:sz w:val="16"/>
            <w:szCs w:val="16"/>
          </w:rPr>
          <w:t>articolo 4, primo comma, della legge 24 novembre 1981, n. 689</w:t>
        </w:r>
      </w:hyperlink>
      <w:r w:rsidRPr="004D237A">
        <w:rPr>
          <w:i/>
          <w:sz w:val="16"/>
          <w:szCs w:val="16"/>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4D237A">
        <w:rPr>
          <w:i/>
          <w:sz w:val="16"/>
          <w:szCs w:val="16"/>
        </w:rPr>
        <w:t>predetta</w:t>
      </w:r>
      <w:proofErr w:type="gramEnd"/>
      <w:r w:rsidRPr="004D237A">
        <w:rPr>
          <w:i/>
          <w:sz w:val="16"/>
          <w:szCs w:val="16"/>
        </w:rPr>
        <w:t xml:space="preserve"> denuncia, dal procuratore della Repubblica procedente all'ANAC, la quale cura la pubblicazione della comunicazione sul sito dell'Osservatorio;</w:t>
      </w:r>
    </w:p>
    <w:p w14:paraId="68BAC2E1" w14:textId="71B2D65B" w:rsidR="002021B2" w:rsidRPr="00A14D30" w:rsidRDefault="004D237A" w:rsidP="004D237A">
      <w:pPr>
        <w:pStyle w:val="Testonotaapidipagina"/>
        <w:ind w:left="284" w:right="566"/>
        <w:contextualSpacing/>
        <w:jc w:val="both"/>
        <w:rPr>
          <w:i/>
          <w:sz w:val="16"/>
          <w:szCs w:val="16"/>
        </w:rPr>
      </w:pPr>
      <w:r w:rsidRPr="004D237A">
        <w:rPr>
          <w:i/>
          <w:sz w:val="16"/>
          <w:szCs w:val="16"/>
        </w:rPr>
        <w:t>m) l'operatore economico si trovi rispetto ad un altro partecipante alla medesima procedura di affidamento, in una situazione di controllo di cui all'</w:t>
      </w:r>
      <w:hyperlink r:id="rId35" w:anchor="2359" w:history="1">
        <w:r w:rsidRPr="004D237A">
          <w:rPr>
            <w:i/>
            <w:sz w:val="16"/>
            <w:szCs w:val="16"/>
          </w:rPr>
          <w:t>articolo 2359 del codice civile</w:t>
        </w:r>
      </w:hyperlink>
      <w:r w:rsidRPr="004D237A">
        <w:rPr>
          <w:i/>
          <w:sz w:val="16"/>
          <w:szCs w:val="16"/>
        </w:rPr>
        <w:t> o in una qualsiasi relazione, anche di fatto, se la situazione di controllo o la relazione comporti che le offerte sono imputabili ad un unico centro decisionale.</w:t>
      </w:r>
      <w:r w:rsidR="002021B2" w:rsidRPr="00A14D30">
        <w:rPr>
          <w:i/>
          <w:sz w:val="16"/>
          <w:szCs w:val="16"/>
        </w:rPr>
        <w:t>”</w:t>
      </w:r>
    </w:p>
    <w:p w14:paraId="5FD31012" w14:textId="77777777" w:rsidR="002021B2" w:rsidRPr="00AC45F9" w:rsidRDefault="002021B2" w:rsidP="00603EF6">
      <w:pPr>
        <w:pStyle w:val="Testonotaapidipagina"/>
        <w:ind w:left="284" w:right="566"/>
        <w:contextualSpacing/>
        <w:jc w:val="both"/>
        <w:rPr>
          <w:i/>
          <w:sz w:val="16"/>
          <w:szCs w:val="16"/>
        </w:rPr>
      </w:pPr>
    </w:p>
    <w:p w14:paraId="3F1C76AE" w14:textId="77777777" w:rsidR="00AA702E" w:rsidRPr="00A14D30" w:rsidRDefault="00AA702E" w:rsidP="00603EF6">
      <w:pPr>
        <w:pStyle w:val="Testonotaapidipagina"/>
        <w:contextualSpacing/>
        <w:jc w:val="both"/>
        <w:rPr>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9133333">
    <w:abstractNumId w:val="0"/>
  </w:num>
  <w:num w:numId="2" w16cid:durableId="680666244">
    <w:abstractNumId w:val="1"/>
  </w:num>
  <w:num w:numId="3" w16cid:durableId="1781216916">
    <w:abstractNumId w:val="2"/>
  </w:num>
  <w:num w:numId="4" w16cid:durableId="28533621">
    <w:abstractNumId w:val="0"/>
  </w:num>
  <w:num w:numId="5" w16cid:durableId="394164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8"/>
    <w:rsid w:val="000025EF"/>
    <w:rsid w:val="00004F38"/>
    <w:rsid w:val="0004063E"/>
    <w:rsid w:val="00052454"/>
    <w:rsid w:val="00054F15"/>
    <w:rsid w:val="00085821"/>
    <w:rsid w:val="0009102C"/>
    <w:rsid w:val="000B26E7"/>
    <w:rsid w:val="000D4614"/>
    <w:rsid w:val="00157FA6"/>
    <w:rsid w:val="001D0C14"/>
    <w:rsid w:val="001E579F"/>
    <w:rsid w:val="00201422"/>
    <w:rsid w:val="002021B2"/>
    <w:rsid w:val="00244553"/>
    <w:rsid w:val="002504C5"/>
    <w:rsid w:val="00292923"/>
    <w:rsid w:val="002C53DF"/>
    <w:rsid w:val="0031638C"/>
    <w:rsid w:val="003479CA"/>
    <w:rsid w:val="00375BCF"/>
    <w:rsid w:val="0038781E"/>
    <w:rsid w:val="00390775"/>
    <w:rsid w:val="003E3634"/>
    <w:rsid w:val="003E75B7"/>
    <w:rsid w:val="003F2083"/>
    <w:rsid w:val="004124C0"/>
    <w:rsid w:val="00444798"/>
    <w:rsid w:val="00444FC1"/>
    <w:rsid w:val="004472F9"/>
    <w:rsid w:val="0046493A"/>
    <w:rsid w:val="004D130E"/>
    <w:rsid w:val="004D237A"/>
    <w:rsid w:val="004E60D2"/>
    <w:rsid w:val="005505D6"/>
    <w:rsid w:val="0058378F"/>
    <w:rsid w:val="00587B63"/>
    <w:rsid w:val="005B5813"/>
    <w:rsid w:val="005C3057"/>
    <w:rsid w:val="005C3776"/>
    <w:rsid w:val="005C58A4"/>
    <w:rsid w:val="005C639A"/>
    <w:rsid w:val="005F7FEF"/>
    <w:rsid w:val="00603EF6"/>
    <w:rsid w:val="00605E78"/>
    <w:rsid w:val="006109F9"/>
    <w:rsid w:val="006138E8"/>
    <w:rsid w:val="0061425A"/>
    <w:rsid w:val="006D5780"/>
    <w:rsid w:val="007448D7"/>
    <w:rsid w:val="007B0349"/>
    <w:rsid w:val="007C6922"/>
    <w:rsid w:val="00844461"/>
    <w:rsid w:val="008F4288"/>
    <w:rsid w:val="00913EAA"/>
    <w:rsid w:val="009226CC"/>
    <w:rsid w:val="009437F1"/>
    <w:rsid w:val="009460B4"/>
    <w:rsid w:val="00964AA1"/>
    <w:rsid w:val="009B1F32"/>
    <w:rsid w:val="009F297F"/>
    <w:rsid w:val="009F3DDE"/>
    <w:rsid w:val="00A14D30"/>
    <w:rsid w:val="00A15D09"/>
    <w:rsid w:val="00A21B76"/>
    <w:rsid w:val="00A52978"/>
    <w:rsid w:val="00AA30FC"/>
    <w:rsid w:val="00AA702E"/>
    <w:rsid w:val="00AC45F9"/>
    <w:rsid w:val="00AC765D"/>
    <w:rsid w:val="00AD1554"/>
    <w:rsid w:val="00AD5D0C"/>
    <w:rsid w:val="00B02406"/>
    <w:rsid w:val="00B6252C"/>
    <w:rsid w:val="00B9117A"/>
    <w:rsid w:val="00BC554F"/>
    <w:rsid w:val="00C06494"/>
    <w:rsid w:val="00C13938"/>
    <w:rsid w:val="00C60837"/>
    <w:rsid w:val="00C93365"/>
    <w:rsid w:val="00C96A25"/>
    <w:rsid w:val="00CD2796"/>
    <w:rsid w:val="00CE64CD"/>
    <w:rsid w:val="00D14E69"/>
    <w:rsid w:val="00D51183"/>
    <w:rsid w:val="00D52E31"/>
    <w:rsid w:val="00D815DE"/>
    <w:rsid w:val="00DA5298"/>
    <w:rsid w:val="00DB79E0"/>
    <w:rsid w:val="00DC2DAF"/>
    <w:rsid w:val="00DC4B8C"/>
    <w:rsid w:val="00DF5568"/>
    <w:rsid w:val="00E11EBD"/>
    <w:rsid w:val="00E31087"/>
    <w:rsid w:val="00E85CE8"/>
    <w:rsid w:val="00EA5BB3"/>
    <w:rsid w:val="00EC233C"/>
    <w:rsid w:val="00F00E59"/>
    <w:rsid w:val="00F33A1E"/>
    <w:rsid w:val="00F44875"/>
    <w:rsid w:val="00F86BDD"/>
    <w:rsid w:val="00FA6BA1"/>
    <w:rsid w:val="00FB2C9B"/>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BC8AA"/>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9217">
      <w:bodyDiv w:val="1"/>
      <w:marLeft w:val="0"/>
      <w:marRight w:val="0"/>
      <w:marTop w:val="0"/>
      <w:marBottom w:val="0"/>
      <w:divBdr>
        <w:top w:val="none" w:sz="0" w:space="0" w:color="auto"/>
        <w:left w:val="none" w:sz="0" w:space="0" w:color="auto"/>
        <w:bottom w:val="none" w:sz="0" w:space="0" w:color="auto"/>
        <w:right w:val="none" w:sz="0" w:space="0" w:color="auto"/>
      </w:divBdr>
      <w:divsChild>
        <w:div w:id="158645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810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548311">
      <w:bodyDiv w:val="1"/>
      <w:marLeft w:val="0"/>
      <w:marRight w:val="0"/>
      <w:marTop w:val="0"/>
      <w:marBottom w:val="0"/>
      <w:divBdr>
        <w:top w:val="none" w:sz="0" w:space="0" w:color="auto"/>
        <w:left w:val="none" w:sz="0" w:space="0" w:color="auto"/>
        <w:bottom w:val="none" w:sz="0" w:space="0" w:color="auto"/>
        <w:right w:val="none" w:sz="0" w:space="0" w:color="auto"/>
      </w:divBdr>
      <w:divsChild>
        <w:div w:id="143566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22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6273">
      <w:bodyDiv w:val="1"/>
      <w:marLeft w:val="0"/>
      <w:marRight w:val="0"/>
      <w:marTop w:val="0"/>
      <w:marBottom w:val="0"/>
      <w:divBdr>
        <w:top w:val="none" w:sz="0" w:space="0" w:color="auto"/>
        <w:left w:val="none" w:sz="0" w:space="0" w:color="auto"/>
        <w:bottom w:val="none" w:sz="0" w:space="0" w:color="auto"/>
        <w:right w:val="none" w:sz="0" w:space="0" w:color="auto"/>
      </w:divBdr>
      <w:divsChild>
        <w:div w:id="156876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ww.bosettiegatti.eu/info/norme/statali/2016_0050.htm" TargetMode="External"/><Relationship Id="rId18" Type="http://schemas.openxmlformats.org/officeDocument/2006/relationships/hyperlink" Target="https://www.bosettiegatti.eu/info/norme/statali/2011_0159.htm" TargetMode="External"/><Relationship Id="rId26" Type="http://schemas.openxmlformats.org/officeDocument/2006/relationships/hyperlink" Target="https://www.bosettiegatti.eu/info/norme/statali/2016_0050.htm" TargetMode="External"/><Relationship Id="rId3" Type="http://schemas.openxmlformats.org/officeDocument/2006/relationships/hyperlink" Target="https://www.bosettiegatti.eu/info/norme/statali/codicepenale.htm" TargetMode="External"/><Relationship Id="rId21" Type="http://schemas.openxmlformats.org/officeDocument/2006/relationships/hyperlink" Target="https://www.bosettiegatti.eu/info/norme/statali/2015_dm_30_01_DURC.htm" TargetMode="External"/><Relationship Id="rId34" Type="http://schemas.openxmlformats.org/officeDocument/2006/relationships/hyperlink" Target="https://www.bosettiegatti.eu/info/norme/statali/1981_0689.htm" TargetMode="External"/><Relationship Id="rId7" Type="http://schemas.openxmlformats.org/officeDocument/2006/relationships/hyperlink" Target="https://www.bosettiegatti.eu/info/norme/statali/codicepenale.htm" TargetMode="Externa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2011_0159.htm" TargetMode="External"/><Relationship Id="rId25" Type="http://schemas.openxmlformats.org/officeDocument/2006/relationships/hyperlink" Target="https://www.bosettiegatti.eu/info/norme/statali/2016_0050.htm" TargetMode="External"/><Relationship Id="rId33" Type="http://schemas.openxmlformats.org/officeDocument/2006/relationships/hyperlink" Target="https://www.bosettiegatti.eu/info/norme/statali/codicepenale.htm" TargetMode="External"/><Relationship Id="rId2" Type="http://schemas.openxmlformats.org/officeDocument/2006/relationships/hyperlink" Target="https://www.bosettiegatti.eu/info/norme/statali/codicepenale.htm" TargetMode="External"/><Relationship Id="rId16" Type="http://schemas.openxmlformats.org/officeDocument/2006/relationships/hyperlink" Target="https://www.bosettiegatti.eu/info/norme/statali/2011_0159.htm" TargetMode="External"/><Relationship Id="rId20" Type="http://schemas.openxmlformats.org/officeDocument/2006/relationships/hyperlink" Target="https://www.bosettiegatti.eu/info/norme/statali/2008_0040.htm" TargetMode="External"/><Relationship Id="rId29" Type="http://schemas.openxmlformats.org/officeDocument/2006/relationships/hyperlink" Target="https://www.bosettiegatti.eu/info/norme/statali/1990_0055.htm" TargetMode="External"/><Relationship Id="rId1" Type="http://schemas.openxmlformats.org/officeDocument/2006/relationships/hyperlink" Target="https://www.bosettiegatti.eu/info/norme/statali/codiceprocedurapenale.htm" TargetMode="External"/><Relationship Id="rId6" Type="http://schemas.openxmlformats.org/officeDocument/2006/relationships/hyperlink" Target="https://www.bosettiegatti.eu/info/norme/statali/2006_0152.htm" TargetMode="External"/><Relationship Id="rId11" Type="http://schemas.openxmlformats.org/officeDocument/2006/relationships/hyperlink" Target="https://www.bosettiegatti.eu/info/norme/statali/codicecivile.htm" TargetMode="External"/><Relationship Id="rId24" Type="http://schemas.openxmlformats.org/officeDocument/2006/relationships/hyperlink" Target="https://www.bosettiegatti.eu/info/ANAC/anac_linee_guida/2017_LG_006_1008_illeciti%20professionali.pdf" TargetMode="External"/><Relationship Id="rId32"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2016_0050.htm" TargetMode="External"/><Relationship Id="rId15" Type="http://schemas.openxmlformats.org/officeDocument/2006/relationships/hyperlink" Target="https://www.bosettiegatti.eu/info/norme/statali/2011_0159.htm" TargetMode="External"/><Relationship Id="rId23" Type="http://schemas.openxmlformats.org/officeDocument/2006/relationships/hyperlink" Target="https://www.bosettiegatti.eu/info/norme/statali/2016_0050.htm" TargetMode="External"/><Relationship Id="rId28" Type="http://schemas.openxmlformats.org/officeDocument/2006/relationships/hyperlink" Target="https://www.bosettiegatti.eu/info/norme/statali/2008_0081.htm" TargetMode="External"/><Relationship Id="rId10" Type="http://schemas.openxmlformats.org/officeDocument/2006/relationships/hyperlink" Target="https://www.bosettiegatti.eu/info/norme/statali/codicecivile.htm" TargetMode="Externa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codicepenale.htm" TargetMode="External"/><Relationship Id="rId4" Type="http://schemas.openxmlformats.org/officeDocument/2006/relationships/hyperlink" Target="https://www.bosettiegatti.eu/info/norme/statali/2016_0050.htm" TargetMode="Externa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2011_0159.htm" TargetMode="External"/><Relationship Id="rId22" Type="http://schemas.openxmlformats.org/officeDocument/2006/relationships/hyperlink" Target="https://www.bosettiegatti.eu/info/norme/statali/2016_0050.htm" TargetMode="External"/><Relationship Id="rId27" Type="http://schemas.openxmlformats.org/officeDocument/2006/relationships/hyperlink" Target="https://www.bosettiegatti.eu/info/norme/statali/2001_0231.htm" TargetMode="External"/><Relationship Id="rId30" Type="http://schemas.openxmlformats.org/officeDocument/2006/relationships/hyperlink" Target="https://www.bosettiegatti.eu/info/norme/statali/1999_0068.htm" TargetMode="External"/><Relationship Id="rId35" Type="http://schemas.openxmlformats.org/officeDocument/2006/relationships/hyperlink" Target="https://www.bosettiegatti.eu/info/norme/statali/codicecivile.htm" TargetMode="External"/><Relationship Id="rId8"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198</Words>
  <Characters>1526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Sara Giorgis - U.T. Comune di Busca</cp:lastModifiedBy>
  <cp:revision>7</cp:revision>
  <dcterms:created xsi:type="dcterms:W3CDTF">2020-02-12T15:46:00Z</dcterms:created>
  <dcterms:modified xsi:type="dcterms:W3CDTF">2022-11-02T13:06:00Z</dcterms:modified>
</cp:coreProperties>
</file>