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624BB" w14:textId="77777777" w:rsidR="00DB4502" w:rsidRDefault="00DB4502" w:rsidP="00BE2BC6">
      <w:pPr>
        <w:widowControl w:val="0"/>
        <w:autoSpaceDE w:val="0"/>
        <w:autoSpaceDN w:val="0"/>
        <w:adjustRightInd w:val="0"/>
        <w:spacing w:before="120" w:after="120" w:line="480" w:lineRule="exact"/>
        <w:jc w:val="center"/>
        <w:rPr>
          <w:b/>
          <w:bCs/>
        </w:rPr>
      </w:pPr>
      <w:bookmarkStart w:id="0" w:name="_GoBack"/>
      <w:bookmarkEnd w:id="0"/>
      <w:r>
        <w:rPr>
          <w:b/>
          <w:bCs/>
        </w:rPr>
        <w:t>Allegato F</w:t>
      </w:r>
    </w:p>
    <w:p w14:paraId="09FC120C" w14:textId="77777777" w:rsidR="00FB0523" w:rsidRDefault="00DB4502" w:rsidP="00BE2BC6">
      <w:pPr>
        <w:widowControl w:val="0"/>
        <w:autoSpaceDE w:val="0"/>
        <w:autoSpaceDN w:val="0"/>
        <w:adjustRightInd w:val="0"/>
        <w:spacing w:before="120" w:after="120" w:line="480" w:lineRule="exact"/>
        <w:jc w:val="center"/>
        <w:rPr>
          <w:b/>
        </w:rPr>
      </w:pPr>
      <w:r>
        <w:rPr>
          <w:b/>
          <w:bCs/>
        </w:rPr>
        <w:t>M</w:t>
      </w:r>
      <w:r w:rsidR="00FB0523" w:rsidRPr="00D218D8">
        <w:rPr>
          <w:b/>
        </w:rPr>
        <w:t xml:space="preserve">odello </w:t>
      </w:r>
      <w:r w:rsidR="00BE2BC6" w:rsidRPr="00D218D8">
        <w:rPr>
          <w:b/>
        </w:rPr>
        <w:t>d</w:t>
      </w:r>
      <w:r w:rsidR="00FB0523" w:rsidRPr="00D218D8">
        <w:rPr>
          <w:b/>
        </w:rPr>
        <w:t>ichiarazioni amministrative e negoziali</w:t>
      </w:r>
    </w:p>
    <w:p w14:paraId="45F221C6" w14:textId="77777777" w:rsidR="00307848" w:rsidRPr="005A7CE2" w:rsidRDefault="00307848" w:rsidP="00307848">
      <w:pPr>
        <w:pBdr>
          <w:top w:val="single" w:sz="4" w:space="2" w:color="auto"/>
          <w:left w:val="single" w:sz="4" w:space="3" w:color="auto"/>
          <w:bottom w:val="single" w:sz="4" w:space="1" w:color="auto"/>
          <w:right w:val="single" w:sz="4" w:space="3" w:color="auto"/>
        </w:pBdr>
        <w:shd w:val="pct20" w:color="000000" w:fill="FFFFFF"/>
        <w:jc w:val="center"/>
        <w:rPr>
          <w:b/>
          <w:bCs/>
          <w:smallCaps/>
          <w:sz w:val="28"/>
          <w:szCs w:val="28"/>
        </w:rPr>
      </w:pPr>
      <w:r w:rsidRPr="005A7CE2">
        <w:rPr>
          <w:b/>
          <w:bCs/>
          <w:smallCaps/>
          <w:sz w:val="28"/>
          <w:szCs w:val="28"/>
        </w:rPr>
        <w:t>procedura negoziata senza previa pubblicazione del bando di gara</w:t>
      </w:r>
    </w:p>
    <w:p w14:paraId="3808D909" w14:textId="77777777" w:rsidR="00DE498A" w:rsidRDefault="00DE498A" w:rsidP="00307848">
      <w:pPr>
        <w:pBdr>
          <w:top w:val="single" w:sz="4" w:space="2" w:color="auto"/>
          <w:left w:val="single" w:sz="4" w:space="3" w:color="auto"/>
          <w:bottom w:val="single" w:sz="4" w:space="1" w:color="auto"/>
          <w:right w:val="single" w:sz="4" w:space="3" w:color="auto"/>
        </w:pBdr>
        <w:shd w:val="pct20" w:color="000000" w:fill="FFFFFF"/>
        <w:jc w:val="center"/>
      </w:pPr>
      <w:r w:rsidRPr="00DE498A">
        <w:t>(art. 1 comma 2 lett. b) Legge 120/2020 così modificata dall’art. 51, comma 1, lettera a), sub. 2.2) Legge 108/2021)</w:t>
      </w:r>
    </w:p>
    <w:p w14:paraId="147D80A2" w14:textId="467B01D1" w:rsidR="00307848" w:rsidRPr="00D7123A" w:rsidRDefault="00307848" w:rsidP="00307848">
      <w:pPr>
        <w:pBdr>
          <w:top w:val="single" w:sz="4" w:space="2" w:color="auto"/>
          <w:left w:val="single" w:sz="4" w:space="3" w:color="auto"/>
          <w:bottom w:val="single" w:sz="4" w:space="1" w:color="auto"/>
          <w:right w:val="single" w:sz="4" w:space="3" w:color="auto"/>
        </w:pBdr>
        <w:shd w:val="pct20" w:color="000000" w:fill="FFFFFF"/>
        <w:jc w:val="center"/>
      </w:pPr>
      <w:r w:rsidRPr="00D7123A">
        <w:t>PER L’AFFIDAMENTO DEI LAVORI DI</w:t>
      </w:r>
    </w:p>
    <w:p w14:paraId="2DBC71A3" w14:textId="5F5FBBE9" w:rsidR="00307848" w:rsidRPr="00D7123A" w:rsidRDefault="00DE498A" w:rsidP="00307848">
      <w:pPr>
        <w:pBdr>
          <w:top w:val="single" w:sz="4" w:space="2" w:color="auto"/>
          <w:left w:val="single" w:sz="4" w:space="3" w:color="auto"/>
          <w:bottom w:val="single" w:sz="4" w:space="1" w:color="auto"/>
          <w:right w:val="single" w:sz="4" w:space="3" w:color="auto"/>
        </w:pBdr>
        <w:shd w:val="pct20" w:color="000000" w:fill="FFFFFF"/>
        <w:jc w:val="center"/>
        <w:rPr>
          <w:b/>
        </w:rPr>
      </w:pPr>
      <w:r w:rsidRPr="00DE498A">
        <w:rPr>
          <w:b/>
        </w:rPr>
        <w:t>“</w:t>
      </w:r>
      <w:r w:rsidR="009E1333" w:rsidRPr="009E1333">
        <w:rPr>
          <w:rFonts w:eastAsia="Calibri"/>
          <w:b/>
          <w:color w:val="000000"/>
        </w:rPr>
        <w:t>REALIZZAZIONE DI PISTA CICLO-PEDONALE TRA I COMUNI DI BUSCA E COSTIGLIOLE SALUZZO LUNGO LA CICLOVIA EUROVELO 8                                   PER MIGLIORAMENTO DELLA SICUREZZA.</w:t>
      </w:r>
      <w:r w:rsidR="00772F17" w:rsidRPr="00CA65CA">
        <w:rPr>
          <w:b/>
        </w:rPr>
        <w:t>”</w:t>
      </w:r>
    </w:p>
    <w:p w14:paraId="79922B94" w14:textId="3D82453D" w:rsidR="00FB0523" w:rsidRPr="00307848" w:rsidRDefault="00307848" w:rsidP="00307848">
      <w:pPr>
        <w:widowControl w:val="0"/>
        <w:autoSpaceDE w:val="0"/>
        <w:autoSpaceDN w:val="0"/>
        <w:adjustRightInd w:val="0"/>
        <w:spacing w:before="120" w:line="360" w:lineRule="auto"/>
        <w:jc w:val="both"/>
        <w:rPr>
          <w:sz w:val="22"/>
          <w:szCs w:val="22"/>
        </w:rPr>
      </w:pPr>
      <w:r w:rsidRPr="00307848">
        <w:rPr>
          <w:sz w:val="22"/>
          <w:szCs w:val="22"/>
        </w:rPr>
        <w:t>S</w:t>
      </w:r>
      <w:r w:rsidR="00FB0523" w:rsidRPr="00307848">
        <w:rPr>
          <w:sz w:val="22"/>
          <w:szCs w:val="22"/>
        </w:rPr>
        <w:t xml:space="preserve">ottoscritto con firma </w:t>
      </w:r>
      <w:r w:rsidR="00974AAB" w:rsidRPr="00307848">
        <w:rPr>
          <w:sz w:val="22"/>
          <w:szCs w:val="22"/>
        </w:rPr>
        <w:t xml:space="preserve">digitale </w:t>
      </w:r>
      <w:r w:rsidR="00FB0523" w:rsidRPr="00307848">
        <w:rPr>
          <w:sz w:val="22"/>
          <w:szCs w:val="22"/>
        </w:rPr>
        <w:t>dal titolare o dal legale rappresentante dell’offerente o da suo procuratore o institore</w:t>
      </w:r>
      <w:r w:rsidR="00964268" w:rsidRPr="00307848">
        <w:rPr>
          <w:sz w:val="22"/>
          <w:szCs w:val="22"/>
        </w:rPr>
        <w:t>,</w:t>
      </w:r>
      <w:r w:rsidR="00FB0523" w:rsidRPr="00307848">
        <w:rPr>
          <w:sz w:val="22"/>
          <w:szCs w:val="22"/>
        </w:rPr>
        <w:t xml:space="preserve"> attestante:</w:t>
      </w:r>
    </w:p>
    <w:p w14:paraId="779ECA44" w14:textId="21A31196"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bCs/>
          <w:sz w:val="22"/>
          <w:szCs w:val="22"/>
        </w:rPr>
        <w:t xml:space="preserve">di non trovarsi nelle condizioni previste dall’art. 48, commi 9 e 10 del </w:t>
      </w:r>
      <w:r w:rsidR="00307848" w:rsidRPr="00307848">
        <w:rPr>
          <w:bCs/>
          <w:sz w:val="22"/>
          <w:szCs w:val="22"/>
        </w:rPr>
        <w:t>D</w:t>
      </w:r>
      <w:r w:rsidRPr="00307848">
        <w:rPr>
          <w:bCs/>
          <w:sz w:val="22"/>
          <w:szCs w:val="22"/>
        </w:rPr>
        <w:t>.</w:t>
      </w:r>
      <w:r w:rsidR="00307848" w:rsidRPr="00307848">
        <w:rPr>
          <w:bCs/>
          <w:sz w:val="22"/>
          <w:szCs w:val="22"/>
        </w:rPr>
        <w:t xml:space="preserve"> L</w:t>
      </w:r>
      <w:r w:rsidRPr="00307848">
        <w:rPr>
          <w:bCs/>
          <w:sz w:val="22"/>
          <w:szCs w:val="22"/>
        </w:rPr>
        <w:t xml:space="preserve">gs. </w:t>
      </w:r>
      <w:r w:rsidR="00307848" w:rsidRPr="00307848">
        <w:rPr>
          <w:bCs/>
          <w:sz w:val="22"/>
          <w:szCs w:val="22"/>
        </w:rPr>
        <w:t xml:space="preserve">n. </w:t>
      </w:r>
      <w:r w:rsidRPr="00307848">
        <w:rPr>
          <w:bCs/>
          <w:sz w:val="22"/>
          <w:szCs w:val="22"/>
        </w:rPr>
        <w:t>50/2016</w:t>
      </w:r>
      <w:r w:rsidRPr="00307848">
        <w:rPr>
          <w:rStyle w:val="Rimandonotaapidipagina"/>
          <w:bCs/>
          <w:sz w:val="22"/>
          <w:szCs w:val="22"/>
        </w:rPr>
        <w:footnoteReference w:id="1"/>
      </w:r>
      <w:r w:rsidRPr="00307848">
        <w:rPr>
          <w:bCs/>
          <w:sz w:val="22"/>
          <w:szCs w:val="22"/>
        </w:rPr>
        <w:t xml:space="preserve">, qualora l’operatore partecipi alla procedura nelle forme giuridiche ai sensi dell’art. 45, comma 2, lett. d), e), f), g) del </w:t>
      </w:r>
      <w:r w:rsidR="00307848" w:rsidRPr="00307848">
        <w:rPr>
          <w:bCs/>
          <w:sz w:val="22"/>
          <w:szCs w:val="22"/>
        </w:rPr>
        <w:t xml:space="preserve">D. Lgs. n. </w:t>
      </w:r>
      <w:r w:rsidRPr="00307848">
        <w:rPr>
          <w:bCs/>
          <w:sz w:val="22"/>
          <w:szCs w:val="22"/>
        </w:rPr>
        <w:t>50/2016;</w:t>
      </w:r>
    </w:p>
    <w:p w14:paraId="21C29C80" w14:textId="77777777"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bCs/>
          <w:sz w:val="22"/>
          <w:szCs w:val="22"/>
        </w:rPr>
        <w:t>l’osservanza all’interno della propria azienda degli obblighi di sicurezza previsti dalla vigente normativa;</w:t>
      </w:r>
    </w:p>
    <w:p w14:paraId="41FA8F79" w14:textId="2A758793" w:rsidR="00DB4502" w:rsidRPr="009E1333" w:rsidRDefault="00DB4502" w:rsidP="00307848">
      <w:pPr>
        <w:widowControl w:val="0"/>
        <w:numPr>
          <w:ilvl w:val="0"/>
          <w:numId w:val="4"/>
        </w:numPr>
        <w:suppressAutoHyphens/>
        <w:spacing w:before="120" w:line="360" w:lineRule="auto"/>
        <w:ind w:left="0" w:firstLine="0"/>
        <w:jc w:val="both"/>
        <w:rPr>
          <w:sz w:val="22"/>
          <w:szCs w:val="22"/>
        </w:rPr>
      </w:pPr>
      <w:r w:rsidRPr="009E1333">
        <w:rPr>
          <w:bCs/>
          <w:sz w:val="22"/>
          <w:szCs w:val="22"/>
        </w:rPr>
        <w:t>la piena ed esatta cognizione di tutti i documenti di gara e l’accettazione, senza condizione o riserva alcuna, di tutte le norme e disposizioni contenute nell’avviso di mani</w:t>
      </w:r>
      <w:r w:rsidR="00704CE0" w:rsidRPr="009E1333">
        <w:rPr>
          <w:bCs/>
          <w:sz w:val="22"/>
          <w:szCs w:val="22"/>
        </w:rPr>
        <w:t>festazione di interesse, nella L</w:t>
      </w:r>
      <w:r w:rsidRPr="009E1333">
        <w:rPr>
          <w:bCs/>
          <w:sz w:val="22"/>
          <w:szCs w:val="22"/>
        </w:rPr>
        <w:t>ettera di invito e nei documenti di gara anche con particolare riguardo a quanto previsto dalle seguenti clausole indicate nell’art.</w:t>
      </w:r>
      <w:r w:rsidR="001138DC" w:rsidRPr="009E1333">
        <w:rPr>
          <w:bCs/>
          <w:sz w:val="22"/>
          <w:szCs w:val="22"/>
        </w:rPr>
        <w:t xml:space="preserve"> </w:t>
      </w:r>
      <w:r w:rsidRPr="009E1333">
        <w:rPr>
          <w:bCs/>
          <w:sz w:val="22"/>
          <w:szCs w:val="22"/>
        </w:rPr>
        <w:t>3 dello schema di contratto:</w:t>
      </w:r>
    </w:p>
    <w:p w14:paraId="1009FDFC" w14:textId="77777777" w:rsidR="006A28DE" w:rsidRPr="006A28DE" w:rsidRDefault="00DB4502" w:rsidP="003D5256">
      <w:pPr>
        <w:pStyle w:val="Rientrocorpodeltesto"/>
        <w:widowControl w:val="0"/>
        <w:spacing w:before="120" w:line="360" w:lineRule="auto"/>
        <w:ind w:left="0" w:right="-1" w:firstLine="0"/>
        <w:jc w:val="both"/>
        <w:rPr>
          <w:rFonts w:ascii="Times New Roman" w:hAnsi="Times New Roman"/>
          <w:b w:val="0"/>
          <w:bCs/>
          <w:i/>
          <w:sz w:val="22"/>
          <w:szCs w:val="22"/>
        </w:rPr>
      </w:pPr>
      <w:r w:rsidRPr="00307848">
        <w:rPr>
          <w:rFonts w:ascii="Times New Roman" w:hAnsi="Times New Roman"/>
          <w:b w:val="0"/>
          <w:bCs/>
          <w:i/>
          <w:sz w:val="22"/>
          <w:szCs w:val="22"/>
          <w:lang w:val="it-IT"/>
        </w:rPr>
        <w:t>“</w:t>
      </w:r>
      <w:r w:rsidR="006A28DE" w:rsidRPr="006A28DE">
        <w:rPr>
          <w:rFonts w:ascii="Times New Roman" w:hAnsi="Times New Roman"/>
          <w:b w:val="0"/>
          <w:bCs/>
          <w:i/>
          <w:sz w:val="22"/>
          <w:szCs w:val="22"/>
        </w:rPr>
        <w:t xml:space="preserve">Ai sensi dell'art 35, comma 18, D. Lgs. n. 50/2016 sarà corrisposta l'anticipazione del 20% sull'importo contrattuale entro quindici giorni dall'effettivo inizio dei lavori attestato dal R.U.P.. </w:t>
      </w:r>
    </w:p>
    <w:p w14:paraId="6A617048" w14:textId="77777777" w:rsidR="006A28DE" w:rsidRPr="006A28DE" w:rsidRDefault="006A28DE" w:rsidP="003D5256">
      <w:pPr>
        <w:pStyle w:val="Rientrocorpodeltesto"/>
        <w:widowControl w:val="0"/>
        <w:spacing w:before="120" w:line="360" w:lineRule="auto"/>
        <w:ind w:left="0" w:right="-1" w:firstLine="0"/>
        <w:jc w:val="both"/>
        <w:rPr>
          <w:rFonts w:ascii="Times New Roman" w:hAnsi="Times New Roman"/>
          <w:b w:val="0"/>
          <w:bCs/>
          <w:i/>
          <w:sz w:val="22"/>
          <w:szCs w:val="22"/>
        </w:rPr>
      </w:pPr>
      <w:r w:rsidRPr="006A28DE">
        <w:rPr>
          <w:rFonts w:ascii="Times New Roman" w:hAnsi="Times New Roman"/>
          <w:b w:val="0"/>
          <w:bCs/>
          <w:i/>
          <w:sz w:val="22"/>
          <w:szCs w:val="22"/>
        </w:rPr>
        <w:t xml:space="preserve">L'erogazione dell'anticipazione è subordinata alla costituzione di garanzia fideiussoria legalizzata da notaio, di importo pari all'anticipazione maggiorato del tasso di interesse legale applicato al periodo necessario al recupero dell'anticipazione stessa secondo il cronoprogramma dei lavori. </w:t>
      </w:r>
    </w:p>
    <w:p w14:paraId="371D5BCA" w14:textId="77777777" w:rsidR="006A28DE" w:rsidRPr="006A28DE" w:rsidRDefault="006A28DE" w:rsidP="003D5256">
      <w:pPr>
        <w:pStyle w:val="Rientrocorpodeltesto"/>
        <w:widowControl w:val="0"/>
        <w:spacing w:before="120" w:line="360" w:lineRule="auto"/>
        <w:ind w:left="0" w:right="-1" w:firstLine="0"/>
        <w:jc w:val="both"/>
        <w:rPr>
          <w:rFonts w:ascii="Times New Roman" w:hAnsi="Times New Roman"/>
          <w:b w:val="0"/>
          <w:bCs/>
          <w:i/>
          <w:sz w:val="22"/>
          <w:szCs w:val="22"/>
        </w:rPr>
      </w:pPr>
      <w:r w:rsidRPr="006A28DE">
        <w:rPr>
          <w:rFonts w:ascii="Times New Roman" w:hAnsi="Times New Roman"/>
          <w:b w:val="0"/>
          <w:bCs/>
          <w:i/>
          <w:sz w:val="22"/>
          <w:szCs w:val="22"/>
        </w:rPr>
        <w:t xml:space="preserve">Il contraente avrà diritto a pagamenti in acconto, in corso d'opera, ogni qual volta il suo credito, al netto del ribasso d'asta e delle prescritte ritenute, raggiunga un importo non inferiore al 50% (cinquanta per cento) dell’importo contrattuale. </w:t>
      </w:r>
    </w:p>
    <w:p w14:paraId="7C5721DB" w14:textId="77777777" w:rsidR="006A28DE" w:rsidRPr="006A28DE" w:rsidRDefault="006A28DE" w:rsidP="003D5256">
      <w:pPr>
        <w:pStyle w:val="Rientrocorpodeltesto"/>
        <w:widowControl w:val="0"/>
        <w:spacing w:before="120" w:line="360" w:lineRule="auto"/>
        <w:ind w:left="0" w:right="-1" w:firstLine="0"/>
        <w:jc w:val="both"/>
        <w:rPr>
          <w:rFonts w:ascii="Times New Roman" w:hAnsi="Times New Roman"/>
          <w:b w:val="0"/>
          <w:bCs/>
          <w:i/>
          <w:sz w:val="22"/>
          <w:szCs w:val="22"/>
        </w:rPr>
      </w:pPr>
      <w:r w:rsidRPr="006A28DE">
        <w:rPr>
          <w:rFonts w:ascii="Times New Roman" w:hAnsi="Times New Roman"/>
          <w:b w:val="0"/>
          <w:bCs/>
          <w:i/>
          <w:sz w:val="22"/>
          <w:szCs w:val="22"/>
        </w:rPr>
        <w:t>La Stazione Appaltante corrisponde le rate di acconto e la rata di saldo, quest’ultima pari al 10% dell'importo contrattuale, nei termini sotto indicati.</w:t>
      </w:r>
    </w:p>
    <w:p w14:paraId="35BAC7B8" w14:textId="77777777" w:rsidR="006A28DE" w:rsidRPr="006A28DE" w:rsidRDefault="006A28DE" w:rsidP="003D5256">
      <w:pPr>
        <w:pStyle w:val="Rientrocorpodeltesto"/>
        <w:widowControl w:val="0"/>
        <w:spacing w:before="120" w:line="360" w:lineRule="auto"/>
        <w:ind w:left="0" w:right="-1" w:firstLine="0"/>
        <w:jc w:val="both"/>
        <w:rPr>
          <w:rFonts w:ascii="Times New Roman" w:hAnsi="Times New Roman"/>
          <w:b w:val="0"/>
          <w:bCs/>
          <w:i/>
          <w:sz w:val="22"/>
          <w:szCs w:val="22"/>
        </w:rPr>
      </w:pPr>
      <w:r w:rsidRPr="006A28DE">
        <w:rPr>
          <w:rFonts w:ascii="Times New Roman" w:hAnsi="Times New Roman"/>
          <w:b w:val="0"/>
          <w:bCs/>
          <w:i/>
          <w:sz w:val="22"/>
          <w:szCs w:val="22"/>
        </w:rPr>
        <w:lastRenderedPageBreak/>
        <w:t>Il D.L. adotta e trasmette entro 30 (trenta) dalla accertata maturazione lo stato di avanzamento lavori (SAL) al RUP, il quale a sua volta emette il relativo certificato di pagamento entro 7 (sette) giorni dal ricevimento del SAL. Il RUP, previe le verifiche di legge (verifica prescritta dal DM n. 40/2008 “Modalità di attuazione dell'articolo 48 bis del D.P.R. n. 602/73, recante disposizioni in materia di pagamenti da parte delle pubbliche amministrazioni”, verifica DURC on line, verifica regolarità retributiva e correttezza dell'effettuazione/versamento ritenute IRPEF per i lavoratori dell'appaltatore e degli eventuali subappaltatori), invia il certificato di pagamento alla Committente per l'emissione dell'atto di liquidazione/mandato di pagamento e pagamento che devono avvenire entro 60 giorni dalla data di ricevimento del SAL, sempre che siano pervenute le fatture dell'Appaltatore.</w:t>
      </w:r>
    </w:p>
    <w:p w14:paraId="598CACBE" w14:textId="77777777" w:rsidR="006A28DE" w:rsidRPr="006A28DE" w:rsidRDefault="006A28DE" w:rsidP="003D5256">
      <w:pPr>
        <w:pStyle w:val="Rientrocorpodeltesto"/>
        <w:widowControl w:val="0"/>
        <w:spacing w:before="120" w:line="360" w:lineRule="auto"/>
        <w:ind w:left="0" w:right="-1" w:firstLine="0"/>
        <w:jc w:val="both"/>
        <w:rPr>
          <w:rFonts w:ascii="Times New Roman" w:hAnsi="Times New Roman"/>
          <w:b w:val="0"/>
          <w:bCs/>
          <w:i/>
          <w:sz w:val="22"/>
          <w:szCs w:val="22"/>
        </w:rPr>
      </w:pPr>
      <w:r w:rsidRPr="006A28DE">
        <w:rPr>
          <w:rFonts w:ascii="Times New Roman" w:hAnsi="Times New Roman"/>
          <w:b w:val="0"/>
          <w:bCs/>
          <w:i/>
          <w:sz w:val="22"/>
          <w:szCs w:val="22"/>
        </w:rPr>
        <w:t>In base all'art. 103, comma 6, del D. Lgs. n. 50/2016, il pagamento della rata di saldo pari al 10% dell'importo contrattuale, è subordinato alla costituzione di una cauzione o di una garanzia fideiussoria bancaria o assicurativa pari all'importo della medesima rata di saldo maggiorato del tasso di interesse legale applicato per il periodo intercorrente tra la data di emissione del certificato di regolare esecuzione e l'assunzione del carattere di definitività del medesimo.</w:t>
      </w:r>
    </w:p>
    <w:p w14:paraId="04CBD922" w14:textId="77777777" w:rsidR="006A28DE" w:rsidRPr="006A28DE" w:rsidRDefault="006A28DE" w:rsidP="003D5256">
      <w:pPr>
        <w:pStyle w:val="Rientrocorpodeltesto"/>
        <w:widowControl w:val="0"/>
        <w:spacing w:before="120" w:line="360" w:lineRule="auto"/>
        <w:ind w:left="0" w:right="-1" w:firstLine="0"/>
        <w:jc w:val="both"/>
        <w:rPr>
          <w:rFonts w:ascii="Times New Roman" w:hAnsi="Times New Roman"/>
          <w:b w:val="0"/>
          <w:bCs/>
          <w:i/>
          <w:sz w:val="22"/>
          <w:szCs w:val="22"/>
        </w:rPr>
      </w:pPr>
      <w:r w:rsidRPr="006A28DE">
        <w:rPr>
          <w:rFonts w:ascii="Times New Roman" w:hAnsi="Times New Roman"/>
          <w:b w:val="0"/>
          <w:bCs/>
          <w:i/>
          <w:sz w:val="22"/>
          <w:szCs w:val="22"/>
        </w:rPr>
        <w:t>All'esito positivo del certificato di regolare esecuzione, e comunque entro un termine non superiore a 7 (sette) giorni dallo stesso, il RUP emette il certificato di pagamento ai fini dell'emissione della fattura da parte dell'Appaltatore; il relativo pagamento è effettuato nel termine di 60 (sessanta) giorni decorrenti dal suddetto esito positivo, sempre che siano pervenute le fatture dell'Appaltatore.</w:t>
      </w:r>
    </w:p>
    <w:p w14:paraId="1B55943E" w14:textId="77777777" w:rsidR="006A28DE" w:rsidRPr="006A28DE" w:rsidRDefault="006A28DE" w:rsidP="003D5256">
      <w:pPr>
        <w:pStyle w:val="Rientrocorpodeltesto"/>
        <w:widowControl w:val="0"/>
        <w:spacing w:before="120" w:line="360" w:lineRule="auto"/>
        <w:ind w:left="0" w:right="-1" w:firstLine="0"/>
        <w:jc w:val="both"/>
        <w:rPr>
          <w:rFonts w:ascii="Times New Roman" w:hAnsi="Times New Roman"/>
          <w:b w:val="0"/>
          <w:bCs/>
          <w:i/>
          <w:sz w:val="22"/>
          <w:szCs w:val="22"/>
        </w:rPr>
      </w:pPr>
      <w:r w:rsidRPr="006A28DE">
        <w:rPr>
          <w:rFonts w:ascii="Times New Roman" w:hAnsi="Times New Roman"/>
          <w:b w:val="0"/>
          <w:bCs/>
          <w:i/>
          <w:sz w:val="22"/>
          <w:szCs w:val="22"/>
        </w:rPr>
        <w:t>L'Appaltatore, tenuto conto della specificità del finanziamento riconosce e accetta che il tempo intercorrente tra la richiesta di somministrazione fatta dalla Committente all'Ente finanziatore (Ministero dell’Interno) e l'effettivo accreditamento delle somme richieste e dovute, non potrà essere computato né ai fini del calcolo di eventuali interessi per ritardato pagamento né ai fini di qualsivoglia richiesta di risarcimento danni, indennizzi o compensi di qualunque tipo, in quanto non imputabile alla Committente. Nel caso in cui nonostante la tempestiva richiesta di somministrazione fatta dalla Committente all'Ente finanziatore (Ministero dell’Interno) e l'effettivo accreditamento delle somme richieste e dovute dovesse superare i 60 (sessanta) giorni naturali, spetteranno all'Appaltatore gli interessi legali di mora di cui al D. Lgs. n. 231/02, a partire dal 120esimo giorno dalla data di adozione/ricevimento del SAL e purché nel frattempo siano prodotte idonee fatture.</w:t>
      </w:r>
    </w:p>
    <w:p w14:paraId="147E3795" w14:textId="3D24CC6A" w:rsidR="00DB4502" w:rsidRPr="00307848" w:rsidRDefault="006A28DE" w:rsidP="003D5256">
      <w:pPr>
        <w:pStyle w:val="Rientrocorpodeltesto"/>
        <w:widowControl w:val="0"/>
        <w:spacing w:before="120" w:line="360" w:lineRule="auto"/>
        <w:ind w:left="0" w:right="-1" w:firstLine="0"/>
        <w:jc w:val="both"/>
        <w:rPr>
          <w:rFonts w:ascii="Times New Roman" w:hAnsi="Times New Roman"/>
          <w:b w:val="0"/>
          <w:bCs/>
          <w:i/>
          <w:sz w:val="22"/>
          <w:szCs w:val="22"/>
        </w:rPr>
      </w:pPr>
      <w:r w:rsidRPr="006A28DE">
        <w:rPr>
          <w:rFonts w:ascii="Times New Roman" w:hAnsi="Times New Roman"/>
          <w:b w:val="0"/>
          <w:bCs/>
          <w:i/>
          <w:sz w:val="22"/>
          <w:szCs w:val="22"/>
        </w:rPr>
        <w:t>L'Appaltatore non potrà pretendere dalla Committente il pagamento della rata di saldo sino a quando non avrà consegnato tutte le documentazioni e certificazioni previste a suo carico dal progetto esecutivo.</w:t>
      </w:r>
      <w:r w:rsidR="00DB4502" w:rsidRPr="00307848">
        <w:rPr>
          <w:rFonts w:ascii="Times New Roman" w:hAnsi="Times New Roman"/>
          <w:b w:val="0"/>
          <w:bCs/>
          <w:i/>
          <w:sz w:val="22"/>
          <w:szCs w:val="22"/>
        </w:rPr>
        <w:t>.</w:t>
      </w:r>
    </w:p>
    <w:p w14:paraId="6DDCD9B6" w14:textId="77777777" w:rsidR="0016740E" w:rsidRPr="0016740E" w:rsidRDefault="0016740E" w:rsidP="0016740E">
      <w:pPr>
        <w:widowControl w:val="0"/>
        <w:spacing w:before="120" w:line="360" w:lineRule="auto"/>
        <w:ind w:right="198"/>
        <w:jc w:val="both"/>
        <w:rPr>
          <w:bCs/>
          <w:i/>
          <w:sz w:val="22"/>
          <w:szCs w:val="22"/>
          <w:lang w:val="x-none" w:eastAsia="x-none"/>
        </w:rPr>
      </w:pPr>
      <w:r w:rsidRPr="0016740E">
        <w:rPr>
          <w:bCs/>
          <w:i/>
          <w:sz w:val="22"/>
          <w:szCs w:val="22"/>
          <w:lang w:val="x-none" w:eastAsia="x-none"/>
        </w:rPr>
        <w:t>Ai sensi e per gli effetti dell'art. 29, comma 2 e ss. del D. Lgs. n. 276/2003, l'Appaltatore e i subappaltatori durante l'esecuzione dei lavori, dovranno fornire periodicamente (con cadenza trimestrale) alla Committente specifica autodichiarazione con firma autografa dall'Appaltatore e da ciascun subappaltatore e cottimista, rilasciata nelle forme del D.P.R. n. 445/2000 con allegata copia semplice di un documento di identità del sottoscrittore, a comprova della regolarità retributiva e della correttezza dell'effettuazione dei versamenti delle ritenute IRPEF dei rispettivi lavoratori via via impegnati nella corrispondente fase di esecuzione dei lavori. Tale autodichiarazione andrà di volta in volta asseverata da un consulente del lavoro iscritto all'albo professionale o da altro professionista abilitato ai sensi di legge.</w:t>
      </w:r>
    </w:p>
    <w:p w14:paraId="4C991FF7" w14:textId="77777777" w:rsidR="0016740E" w:rsidRPr="0016740E" w:rsidRDefault="0016740E" w:rsidP="0016740E">
      <w:pPr>
        <w:widowControl w:val="0"/>
        <w:spacing w:before="120" w:line="360" w:lineRule="auto"/>
        <w:ind w:right="198"/>
        <w:jc w:val="both"/>
        <w:rPr>
          <w:bCs/>
          <w:i/>
          <w:sz w:val="22"/>
          <w:szCs w:val="22"/>
          <w:lang w:val="x-none" w:eastAsia="x-none"/>
        </w:rPr>
      </w:pPr>
      <w:r w:rsidRPr="0016740E">
        <w:rPr>
          <w:bCs/>
          <w:i/>
          <w:sz w:val="22"/>
          <w:szCs w:val="22"/>
          <w:lang w:val="x-none" w:eastAsia="x-none"/>
        </w:rPr>
        <w:t>L'Appaltatore non potrà pretendere dalla Committente il pagamento della rata di saldo sino a quando non avrà consegnato tutte le documentazioni e certificazioni previste a suo carico dal CSA.</w:t>
      </w:r>
    </w:p>
    <w:p w14:paraId="296C2285" w14:textId="77777777" w:rsidR="0016740E" w:rsidRPr="0016740E" w:rsidRDefault="0016740E" w:rsidP="0016740E">
      <w:pPr>
        <w:widowControl w:val="0"/>
        <w:spacing w:before="120" w:line="360" w:lineRule="auto"/>
        <w:ind w:right="198"/>
        <w:jc w:val="both"/>
        <w:rPr>
          <w:bCs/>
          <w:i/>
          <w:sz w:val="22"/>
          <w:szCs w:val="22"/>
          <w:lang w:val="x-none" w:eastAsia="x-none"/>
        </w:rPr>
      </w:pPr>
      <w:r w:rsidRPr="0016740E">
        <w:rPr>
          <w:bCs/>
          <w:i/>
          <w:sz w:val="22"/>
          <w:szCs w:val="22"/>
          <w:lang w:val="x-none" w:eastAsia="x-none"/>
        </w:rPr>
        <w:t>La contabilizzazione dei lavori a corpo avverrà secondo le modalità operative contenute nel CSA.</w:t>
      </w:r>
    </w:p>
    <w:p w14:paraId="34750F59" w14:textId="77777777" w:rsidR="0016740E" w:rsidRPr="0016740E" w:rsidRDefault="0016740E" w:rsidP="0016740E">
      <w:pPr>
        <w:widowControl w:val="0"/>
        <w:spacing w:before="120" w:line="360" w:lineRule="auto"/>
        <w:ind w:right="198"/>
        <w:jc w:val="both"/>
        <w:rPr>
          <w:bCs/>
          <w:i/>
          <w:sz w:val="22"/>
          <w:szCs w:val="22"/>
          <w:lang w:val="x-none" w:eastAsia="x-none"/>
        </w:rPr>
      </w:pPr>
      <w:r w:rsidRPr="0016740E">
        <w:rPr>
          <w:bCs/>
          <w:i/>
          <w:sz w:val="22"/>
          <w:szCs w:val="22"/>
          <w:lang w:val="x-none" w:eastAsia="x-none"/>
        </w:rPr>
        <w:t>Trattandosi di appalto a corpo, l'importo dei lavori a corpo resterà fisso e invariabile, senza che possa essere invocata dall'Appaltatore alcuna successiva verifica sulla misura o sul valore attribuito alle quantità e alla qualità di detti lavori.</w:t>
      </w:r>
    </w:p>
    <w:p w14:paraId="09DAAAAB" w14:textId="77777777" w:rsidR="0016740E" w:rsidRPr="0016740E" w:rsidRDefault="0016740E" w:rsidP="0016740E">
      <w:pPr>
        <w:widowControl w:val="0"/>
        <w:spacing w:before="120" w:line="360" w:lineRule="auto"/>
        <w:ind w:right="198"/>
        <w:jc w:val="both"/>
        <w:rPr>
          <w:bCs/>
          <w:i/>
          <w:sz w:val="22"/>
          <w:szCs w:val="22"/>
          <w:lang w:val="x-none" w:eastAsia="x-none"/>
        </w:rPr>
      </w:pPr>
      <w:r w:rsidRPr="0016740E">
        <w:rPr>
          <w:bCs/>
          <w:i/>
          <w:sz w:val="22"/>
          <w:szCs w:val="22"/>
          <w:lang w:val="x-none" w:eastAsia="x-none"/>
        </w:rPr>
        <w:t>In punto di revisione prezzi si applica l'art. 106, D. Lgs. n. 50/2016 qualora ne ricorrano i presupposti legali. Le variazioni di prezzo in aumento o in diminuzione sono valutate solo per l'eccedenza rispetto al 15 (quindici) % rispetto al prezzo originario e comunque in misura pari alla metà (vedasi art. 106 D. Lgs. n. 50/16).</w:t>
      </w:r>
    </w:p>
    <w:p w14:paraId="24D213BA" w14:textId="2CC67302" w:rsidR="0016740E" w:rsidRPr="0016740E" w:rsidRDefault="0016740E" w:rsidP="0016740E">
      <w:pPr>
        <w:widowControl w:val="0"/>
        <w:spacing w:before="120" w:line="360" w:lineRule="auto"/>
        <w:ind w:right="198"/>
        <w:jc w:val="both"/>
        <w:rPr>
          <w:bCs/>
          <w:i/>
          <w:sz w:val="22"/>
          <w:szCs w:val="22"/>
          <w:lang w:val="x-none" w:eastAsia="x-none"/>
        </w:rPr>
      </w:pPr>
      <w:r w:rsidRPr="009E1333">
        <w:rPr>
          <w:bCs/>
          <w:i/>
          <w:sz w:val="22"/>
          <w:szCs w:val="22"/>
          <w:lang w:val="x-none" w:eastAsia="x-none"/>
        </w:rPr>
        <w:t>La contabilizzazione del compenso a corpo degli oneri della sicurezza ex art. 100 del D. Lgs. n. 81/08  avverrà in termini percentuali proporzionali agli stati avanzamento lavori.</w:t>
      </w:r>
    </w:p>
    <w:p w14:paraId="798D3B1D" w14:textId="0690F1CF"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bCs/>
          <w:sz w:val="22"/>
          <w:szCs w:val="22"/>
        </w:rPr>
        <w:t xml:space="preserve">di impegnarsi, in caso di aggiudicazione della procedura, ad applicare al personale impiegato nell’esecuzione delle opere tutte le norme contenute nel contratto collettivo nazionale di lavoro applicabile in ragione del settore e della zona in cui deve essere eseguito l’appalto, stipulato dalle associazioni dei datori e dei prestatori di lavoro comparativamente più rappresentative sul piano nazionale, nonché nei contratti che disciplinano attività connesse all’oggetto dell’appalto, svolte dall’impresa in maniera prevalente, nel rispetto dell’articolo 30, commi 3 e 4, del </w:t>
      </w:r>
      <w:r w:rsidR="00307848" w:rsidRPr="00307848">
        <w:rPr>
          <w:bCs/>
          <w:sz w:val="22"/>
          <w:szCs w:val="22"/>
        </w:rPr>
        <w:t xml:space="preserve">D. Lgs. n. </w:t>
      </w:r>
      <w:r w:rsidRPr="00307848">
        <w:rPr>
          <w:bCs/>
          <w:sz w:val="22"/>
          <w:szCs w:val="22"/>
        </w:rPr>
        <w:t>50/2016, dell’art.51 del decreto legislativo 15 giugno 2015, n. 81 e della nota n. 14775 del 26 luglio 2016 del Ministero del lavoro e delle politiche sociali avente ad oggetto: “Applicazione CCNL nell’ambito degli appalti pubblici”;</w:t>
      </w:r>
    </w:p>
    <w:p w14:paraId="3A21C664" w14:textId="6E132689"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bCs/>
          <w:sz w:val="22"/>
          <w:szCs w:val="22"/>
        </w:rPr>
        <w:t xml:space="preserve">di accettare, senza eccezioni e/o riserve, di eseguire i lavori a partire dalla consegna anticipata nelle more della stipula del contratto ricorrendo i presupposti di cui all’art. 32, commi 8 e 13, del </w:t>
      </w:r>
      <w:r w:rsidR="00307848" w:rsidRPr="00307848">
        <w:rPr>
          <w:bCs/>
          <w:sz w:val="22"/>
          <w:szCs w:val="22"/>
        </w:rPr>
        <w:t xml:space="preserve">D. Lgs. n. </w:t>
      </w:r>
      <w:r w:rsidRPr="00307848">
        <w:rPr>
          <w:bCs/>
          <w:sz w:val="22"/>
          <w:szCs w:val="22"/>
        </w:rPr>
        <w:t xml:space="preserve">50/2016; </w:t>
      </w:r>
    </w:p>
    <w:p w14:paraId="3CC4B1BC" w14:textId="77777777"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bCs/>
          <w:sz w:val="22"/>
          <w:szCs w:val="22"/>
        </w:rPr>
        <w:t xml:space="preserve">di conoscere e accettare: </w:t>
      </w:r>
    </w:p>
    <w:p w14:paraId="60E3571B"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tutte le norme e disposizioni che regolano l’appalto, comprese quelle contenute nell’avviso di manifestazione di interesse, nella lettera di invito e nello schema di contratto, senza condizione, eccezione e riserva alcuna; </w:t>
      </w:r>
    </w:p>
    <w:p w14:paraId="0C919089"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tutte le circostanze generali e particolari che possono aver influito sulla determinazione dei prezzi e delle condizioni contrattuali e che possono influire sull’esecuzione dell’appalto, avendone presa piena conoscenza; </w:t>
      </w:r>
    </w:p>
    <w:p w14:paraId="4762968F"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di avere effettuato una verifica e di avere accertato l’esistenza e la reperibilità sul mercato dei materiali e della mano d’opera necessaria per l’esecuzione dei lavori in relazione ai tempi previsti per l’esecuzione degli stessi, nonché della disponibilità di attrezzature adeguate all’entità e alla tipologia e categorie di lavori in appalto e di avere giudicato i prezzi medesimi, nel loro complesso, equi e remunerativi, anche in considerazione degli elementi che influiscono sia sul costo dei materiali sia sul costo della mano d’opera, dei noli e dei trasporti e tali da consentire l'offerta che sta per fare e l’esecuzione dei lavori a perfetta regola d’arte; </w:t>
      </w:r>
    </w:p>
    <w:p w14:paraId="2C36CE08" w14:textId="4DF4F569"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bCs/>
          <w:sz w:val="22"/>
          <w:szCs w:val="22"/>
        </w:rPr>
        <w:t xml:space="preserve">di conoscere e accettare tutte le norme e disposizioni contenute nel capitolato speciale d’appalto, nel piano di sicurezza e coordinamento di cui all’art. 100 del </w:t>
      </w:r>
      <w:r w:rsidR="00307848" w:rsidRPr="00307848">
        <w:rPr>
          <w:bCs/>
          <w:sz w:val="22"/>
          <w:szCs w:val="22"/>
        </w:rPr>
        <w:t xml:space="preserve">D. Lgs. n. </w:t>
      </w:r>
      <w:r w:rsidRPr="00307848">
        <w:rPr>
          <w:bCs/>
          <w:sz w:val="22"/>
          <w:szCs w:val="22"/>
        </w:rPr>
        <w:t xml:space="preserve">81/2008, negli elaborati grafici, descrittivi ed economici del progetto esecutivo di cui agli artt. 23, del </w:t>
      </w:r>
      <w:r w:rsidR="00307848" w:rsidRPr="00307848">
        <w:rPr>
          <w:bCs/>
          <w:sz w:val="22"/>
          <w:szCs w:val="22"/>
        </w:rPr>
        <w:t xml:space="preserve">D. Lgs. n. </w:t>
      </w:r>
      <w:r w:rsidRPr="00307848">
        <w:rPr>
          <w:bCs/>
          <w:sz w:val="22"/>
          <w:szCs w:val="22"/>
        </w:rPr>
        <w:t xml:space="preserve">50/2016, e 33 e </w:t>
      </w:r>
      <w:proofErr w:type="spellStart"/>
      <w:r w:rsidRPr="00307848">
        <w:rPr>
          <w:bCs/>
          <w:sz w:val="22"/>
          <w:szCs w:val="22"/>
        </w:rPr>
        <w:t>sgg</w:t>
      </w:r>
      <w:proofErr w:type="spellEnd"/>
      <w:r w:rsidRPr="00307848">
        <w:rPr>
          <w:bCs/>
          <w:sz w:val="22"/>
          <w:szCs w:val="22"/>
        </w:rPr>
        <w:t xml:space="preserve">, del </w:t>
      </w:r>
      <w:r w:rsidR="00307848" w:rsidRPr="00307848">
        <w:rPr>
          <w:bCs/>
          <w:sz w:val="22"/>
          <w:szCs w:val="22"/>
        </w:rPr>
        <w:t>D.P.R. n.</w:t>
      </w:r>
      <w:r w:rsidRPr="00307848">
        <w:rPr>
          <w:bCs/>
          <w:sz w:val="22"/>
          <w:szCs w:val="22"/>
        </w:rPr>
        <w:t xml:space="preserve"> 207/2010 posto a base di gara e di averne valutato l’influenza e gli oneri conseguenti sull’andamento e sul costo dei lavori, e pertanto di: </w:t>
      </w:r>
    </w:p>
    <w:p w14:paraId="4D8AD9D4" w14:textId="77777777" w:rsidR="00DB4502" w:rsidRPr="009E1333" w:rsidRDefault="00DB4502" w:rsidP="00307848">
      <w:pPr>
        <w:widowControl w:val="0"/>
        <w:numPr>
          <w:ilvl w:val="1"/>
          <w:numId w:val="3"/>
        </w:numPr>
        <w:suppressAutoHyphens/>
        <w:spacing w:before="120" w:line="360" w:lineRule="auto"/>
        <w:ind w:left="0" w:firstLine="142"/>
        <w:jc w:val="both"/>
        <w:rPr>
          <w:sz w:val="22"/>
          <w:szCs w:val="22"/>
        </w:rPr>
      </w:pPr>
      <w:r w:rsidRPr="009E1333">
        <w:rPr>
          <w:bCs/>
          <w:sz w:val="22"/>
          <w:szCs w:val="22"/>
        </w:rPr>
        <w:t xml:space="preserve">avere esaminato il capitolato speciale d’appalto; </w:t>
      </w:r>
    </w:p>
    <w:p w14:paraId="62D37A72"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avere esaminato tutti gli elaborati grafici, descrittivi e economici del progetto definitivo/esecutivo che, parte integrante e sostanziale dell’appalto, è posto a base di gara ritenendolo esauriente e tale quindi da consentire una ponderata formulazione della propria offerta, che si intende comprensiva di tutti i costi e/o gli oneri diretti ed indiretti derivanti dalla corretta esecuzione dei lavori e forniture oggetto dell’appalto; </w:t>
      </w:r>
    </w:p>
    <w:p w14:paraId="660D5ED9"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 preso piena conoscenza delle opere da eseguire; </w:t>
      </w:r>
    </w:p>
    <w:p w14:paraId="29FC9934"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 basato l’offerta su di una propria autonoma valutazione della quantità e qualità della prestazione ed essere pertanto consapevole che nessun maggior onere potrà essere richiesto e riconosciuto per difformità rispetto alle previsioni e indicazioni contenute nel progetto esecutivo; </w:t>
      </w:r>
    </w:p>
    <w:p w14:paraId="5A8E28B8"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 tenuto conto che i lavori devono essere eseguiti in un arco temporale che include possibili condizioni climatiche sfavorevoli che impongono l’adozione di idonee soluzioni di esecuzione per il rispetto dei tempi contrattuali; </w:t>
      </w:r>
    </w:p>
    <w:p w14:paraId="1ABD09F7"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avere preso visione del piano di sicurezza e coordinamento del cantiere; </w:t>
      </w:r>
    </w:p>
    <w:p w14:paraId="61340A84"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 attentamente visitato il sito interessato dai lavori e di averne accertato tutte le circostanze generali e particolari nonché le condizioni che possono influire sulla determinazione della propria offerta quali le condizioni di viabilità, di accesso, di impianto del cantiere e le condizioni del suolo su cui dovranno eseguirsi i lavori; </w:t>
      </w:r>
    </w:p>
    <w:p w14:paraId="2484563A"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avere effettuato la ricognizione del luogo e del comprensorio, con particolare riferimento all’esistenza di discariche autorizzate a recepire i materiali anche in funzione delle lavorazioni adottate; </w:t>
      </w:r>
    </w:p>
    <w:p w14:paraId="03ECB49C"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avere tenuto conto, nella formulazione dell’offerta, dello stato di consistenza dell’area; </w:t>
      </w:r>
    </w:p>
    <w:p w14:paraId="2AD9675E"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avere effettuato una verifica della disponibilità della mano d’opera necessaria per l’esecuzione dei lavori nonché della disponibilità di attrezzature adeguate all’entità e alla tipologia e categoria dei lavori in appalto; </w:t>
      </w:r>
    </w:p>
    <w:p w14:paraId="715F3871"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avere preso perfetta conoscenza della natura, dell’entità, della destinazione delle opere da eseguire nonché di avere debitamente valutato le caratteristiche climatiche, le possibilità logistiche, le vie di comunicazione e di accesso al cantiere, le aree di cantiere, la necessità di usare mezzi di trasporto e sollevamento commisurati alle esigenze del cantiere, le ubicazioni di cave di prestito e delle discariche di materiali e di tutte le altre condizioni che possono influire sul costo e sullo svolgimento dei lavori nonché di tutte le circostanze generali e particolari suscettibili di influire sulla determinazione dei prezzi, sulle condizioni contrattuali e sull'esecuzione dei lavori e di avere giudicato i lavori stessi realizzabili, gli elaborati progettuali a base di gara adeguati ed i prezzi nel loro complesso remunerativi e tali da consentire il ribasso offerto; </w:t>
      </w:r>
    </w:p>
    <w:p w14:paraId="6D054933" w14:textId="77777777"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avere preso visione dell’elenco prezzi e di reputarli di mercato e tali da consentire di fare un’offerta a corpo pienamente equa e remunerativa; </w:t>
      </w:r>
    </w:p>
    <w:p w14:paraId="7ED616FE" w14:textId="0A948679" w:rsidR="00DB4502" w:rsidRPr="00307848" w:rsidRDefault="00DB4502" w:rsidP="00307848">
      <w:pPr>
        <w:widowControl w:val="0"/>
        <w:numPr>
          <w:ilvl w:val="1"/>
          <w:numId w:val="3"/>
        </w:numPr>
        <w:suppressAutoHyphens/>
        <w:spacing w:before="120" w:line="360" w:lineRule="auto"/>
        <w:ind w:left="0" w:firstLine="142"/>
        <w:jc w:val="both"/>
        <w:rPr>
          <w:sz w:val="22"/>
          <w:szCs w:val="22"/>
        </w:rPr>
      </w:pPr>
      <w:r w:rsidRPr="00307848">
        <w:rPr>
          <w:bCs/>
          <w:sz w:val="22"/>
          <w:szCs w:val="22"/>
        </w:rPr>
        <w:t xml:space="preserve">aver tenuto conto, nella formulazione dell’offerta, di tutte le indicazioni fornite nel piano di sicurezza e coordinamento redatto ai sensi dell’art. 100 e </w:t>
      </w:r>
      <w:proofErr w:type="spellStart"/>
      <w:r w:rsidRPr="00307848">
        <w:rPr>
          <w:bCs/>
          <w:sz w:val="22"/>
          <w:szCs w:val="22"/>
        </w:rPr>
        <w:t>All</w:t>
      </w:r>
      <w:proofErr w:type="spellEnd"/>
      <w:r w:rsidRPr="00307848">
        <w:rPr>
          <w:bCs/>
          <w:sz w:val="22"/>
          <w:szCs w:val="22"/>
        </w:rPr>
        <w:t xml:space="preserve">. XV, del </w:t>
      </w:r>
      <w:r w:rsidR="00307848" w:rsidRPr="00307848">
        <w:rPr>
          <w:bCs/>
          <w:sz w:val="22"/>
          <w:szCs w:val="22"/>
        </w:rPr>
        <w:t xml:space="preserve">D. Lgs. n. </w:t>
      </w:r>
      <w:r w:rsidRPr="00307848">
        <w:rPr>
          <w:bCs/>
          <w:sz w:val="22"/>
          <w:szCs w:val="22"/>
        </w:rPr>
        <w:t>81/2008;</w:t>
      </w:r>
    </w:p>
    <w:p w14:paraId="763D1D02" w14:textId="77777777"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bCs/>
          <w:sz w:val="22"/>
          <w:szCs w:val="22"/>
        </w:rPr>
        <w:t>di prendere atto che trattandosi di appalto a corpo, il prezzo convenuto non può essere modificato sulla base della verifica della quantità o della qualità della prestazione e che, prima della formulazione dell'offerta, è stato assolto l'obbligo di controllare le voci e le quantità del computo metrico estimativo attraverso l'esame degli elaborati progettuali e di aver, pertanto, formulato l’offerta medesima tenendo conto di voci e relative quantità eventualmente ritenuti eccedenti o mancanti, e di aver altresì  considerato 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w:t>
      </w:r>
    </w:p>
    <w:p w14:paraId="218ED6FB" w14:textId="5F1A8829"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sz w:val="22"/>
          <w:szCs w:val="22"/>
        </w:rPr>
        <w:t xml:space="preserve">di assumere gli obblighi di tracciabilità dei flussi finanziari di cui all’art. 3 della Legge 13.08.2010 n. 136 con l’utilizzo di conto corrente bancario o conto presso Poste Italiane S.P.A. dedicato, sul quale dovranno convergere tutti i pagamenti da parte del Comune di </w:t>
      </w:r>
      <w:r w:rsidR="001C2B32">
        <w:rPr>
          <w:sz w:val="22"/>
          <w:szCs w:val="22"/>
        </w:rPr>
        <w:t>Busca</w:t>
      </w:r>
      <w:r w:rsidRPr="00307848">
        <w:rPr>
          <w:sz w:val="22"/>
          <w:szCs w:val="22"/>
        </w:rPr>
        <w:t xml:space="preserve"> tramite bonifico;</w:t>
      </w:r>
    </w:p>
    <w:p w14:paraId="7FDA1B65" w14:textId="774788AC"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sz w:val="22"/>
          <w:szCs w:val="22"/>
        </w:rPr>
        <w:t xml:space="preserve">di non aver concluso ai sensi dell’art. 53 c. 16-ter </w:t>
      </w:r>
      <w:r w:rsidR="00307848" w:rsidRPr="00307848">
        <w:rPr>
          <w:bCs/>
          <w:sz w:val="22"/>
          <w:szCs w:val="22"/>
        </w:rPr>
        <w:t xml:space="preserve">D. Lgs. n. </w:t>
      </w:r>
      <w:r w:rsidRPr="00307848">
        <w:rPr>
          <w:sz w:val="22"/>
          <w:szCs w:val="22"/>
        </w:rPr>
        <w:t xml:space="preserve">165/2001, contratti di lavoro subordinato o autonomo e comunque di non aver attribuito incarichi a ex dipendenti del Comune di </w:t>
      </w:r>
      <w:r w:rsidR="001C2B32">
        <w:rPr>
          <w:sz w:val="22"/>
          <w:szCs w:val="22"/>
        </w:rPr>
        <w:t>Busca</w:t>
      </w:r>
      <w:r w:rsidRPr="00307848">
        <w:rPr>
          <w:sz w:val="22"/>
          <w:szCs w:val="22"/>
        </w:rPr>
        <w:t xml:space="preserve"> che, negli ultimi tre anni di servizio, hanno esercitato poteri autoritativi o negoziali per conto del Comune di </w:t>
      </w:r>
      <w:r w:rsidR="001C2B32">
        <w:rPr>
          <w:sz w:val="22"/>
          <w:szCs w:val="22"/>
        </w:rPr>
        <w:t xml:space="preserve">Busca </w:t>
      </w:r>
      <w:r w:rsidRPr="00307848">
        <w:rPr>
          <w:sz w:val="22"/>
          <w:szCs w:val="22"/>
        </w:rPr>
        <w:t xml:space="preserve">nei propri confronti, nel triennio successivo alla cessazione del rapporto di lavoro dei suddetti soggetti del Comune di </w:t>
      </w:r>
      <w:r w:rsidR="001C2B32">
        <w:rPr>
          <w:sz w:val="22"/>
          <w:szCs w:val="22"/>
        </w:rPr>
        <w:t>Bu</w:t>
      </w:r>
      <w:r w:rsidR="00772F17">
        <w:rPr>
          <w:sz w:val="22"/>
          <w:szCs w:val="22"/>
        </w:rPr>
        <w:t>sca</w:t>
      </w:r>
      <w:r w:rsidRPr="00307848">
        <w:rPr>
          <w:sz w:val="22"/>
          <w:szCs w:val="22"/>
        </w:rPr>
        <w:t>; di essere consapevole che la violazione della presente disposizione comporta l’esclusione dalla procedura di gara, la nullità dei contratti e degli incarichi conferiti, l’obbligo di restituzione dei compensi ad essi riferiti e il divieto di contrattare con le pubbliche amministrazioni per i successivi tre anni;</w:t>
      </w:r>
    </w:p>
    <w:p w14:paraId="6D59E514" w14:textId="513308DA"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sz w:val="22"/>
          <w:szCs w:val="22"/>
        </w:rPr>
        <w:t>di</w:t>
      </w:r>
      <w:r w:rsidRPr="00307848">
        <w:rPr>
          <w:rFonts w:eastAsia="Calibri"/>
          <w:sz w:val="22"/>
          <w:szCs w:val="22"/>
        </w:rPr>
        <w:t xml:space="preserve"> acconsentire, ai sensi e per gli effetti tutti del </w:t>
      </w:r>
      <w:r w:rsidRPr="00307848">
        <w:rPr>
          <w:sz w:val="22"/>
          <w:szCs w:val="22"/>
        </w:rPr>
        <w:t xml:space="preserve">Regolamento UE </w:t>
      </w:r>
      <w:r w:rsidR="00307848" w:rsidRPr="00307848">
        <w:rPr>
          <w:sz w:val="22"/>
          <w:szCs w:val="22"/>
        </w:rPr>
        <w:t xml:space="preserve">n. </w:t>
      </w:r>
      <w:r w:rsidRPr="00307848">
        <w:rPr>
          <w:sz w:val="22"/>
          <w:szCs w:val="22"/>
        </w:rPr>
        <w:t xml:space="preserve">679/2016 e del </w:t>
      </w:r>
      <w:r w:rsidR="00307848" w:rsidRPr="00307848">
        <w:rPr>
          <w:sz w:val="22"/>
          <w:szCs w:val="22"/>
        </w:rPr>
        <w:t>D</w:t>
      </w:r>
      <w:r w:rsidRPr="00307848">
        <w:rPr>
          <w:rFonts w:eastAsia="Calibri"/>
          <w:sz w:val="22"/>
          <w:szCs w:val="22"/>
        </w:rPr>
        <w:t>.</w:t>
      </w:r>
      <w:r w:rsidR="00307848" w:rsidRPr="00307848">
        <w:rPr>
          <w:rFonts w:eastAsia="Calibri"/>
          <w:sz w:val="22"/>
          <w:szCs w:val="22"/>
        </w:rPr>
        <w:t xml:space="preserve"> L</w:t>
      </w:r>
      <w:r w:rsidRPr="00307848">
        <w:rPr>
          <w:rFonts w:eastAsia="Calibri"/>
          <w:sz w:val="22"/>
          <w:szCs w:val="22"/>
        </w:rPr>
        <w:t xml:space="preserve">gs. </w:t>
      </w:r>
      <w:r w:rsidR="00307848" w:rsidRPr="00307848">
        <w:rPr>
          <w:rFonts w:eastAsia="Calibri"/>
          <w:sz w:val="22"/>
          <w:szCs w:val="22"/>
        </w:rPr>
        <w:t xml:space="preserve">n. </w:t>
      </w:r>
      <w:r w:rsidRPr="00307848">
        <w:rPr>
          <w:rFonts w:eastAsia="Calibri"/>
          <w:sz w:val="22"/>
          <w:szCs w:val="22"/>
        </w:rPr>
        <w:t>196/2003, al trattamento dei propri dati, anche personali, anche con strumenti informatici, esclusivamente nell’ambito del procedimento nel quale le dichiarazioni vengono rese e per la stipula del contratto in caso di aggiudicazione;</w:t>
      </w:r>
      <w:r w:rsidRPr="00307848">
        <w:rPr>
          <w:w w:val="110"/>
          <w:sz w:val="22"/>
          <w:szCs w:val="22"/>
        </w:rPr>
        <w:t xml:space="preserve"> </w:t>
      </w:r>
    </w:p>
    <w:p w14:paraId="2CB625FB" w14:textId="156BF269" w:rsidR="00DB4502" w:rsidRPr="00307848" w:rsidRDefault="00DB4502" w:rsidP="00307848">
      <w:pPr>
        <w:widowControl w:val="0"/>
        <w:numPr>
          <w:ilvl w:val="0"/>
          <w:numId w:val="4"/>
        </w:numPr>
        <w:suppressAutoHyphens/>
        <w:spacing w:before="120" w:line="360" w:lineRule="auto"/>
        <w:ind w:left="0" w:firstLine="0"/>
        <w:jc w:val="both"/>
        <w:rPr>
          <w:sz w:val="22"/>
          <w:szCs w:val="22"/>
        </w:rPr>
      </w:pPr>
      <w:r w:rsidRPr="00307848">
        <w:rPr>
          <w:sz w:val="22"/>
          <w:szCs w:val="22"/>
        </w:rPr>
        <w:t xml:space="preserve">di essere consapevole delle sanzioni penali previste dall’art. 76 del </w:t>
      </w:r>
      <w:r w:rsidR="00307848" w:rsidRPr="00307848">
        <w:rPr>
          <w:sz w:val="22"/>
          <w:szCs w:val="22"/>
        </w:rPr>
        <w:t>D.P.R. n.</w:t>
      </w:r>
      <w:r w:rsidRPr="00307848">
        <w:rPr>
          <w:sz w:val="22"/>
          <w:szCs w:val="22"/>
        </w:rPr>
        <w:t xml:space="preserve"> 445/2000, per le ipotesi di falsità in atti e dichiarazioni mendaci relative alla gara in oggetto.</w:t>
      </w:r>
    </w:p>
    <w:p w14:paraId="25B22A46" w14:textId="3E0D7E0E" w:rsidR="00F55483" w:rsidRPr="00307848" w:rsidRDefault="00EB43B1" w:rsidP="00307848">
      <w:pPr>
        <w:widowControl w:val="0"/>
        <w:autoSpaceDE w:val="0"/>
        <w:autoSpaceDN w:val="0"/>
        <w:adjustRightInd w:val="0"/>
        <w:spacing w:before="120" w:line="360" w:lineRule="auto"/>
        <w:jc w:val="both"/>
        <w:rPr>
          <w:sz w:val="22"/>
          <w:szCs w:val="22"/>
        </w:rPr>
      </w:pPr>
      <w:r w:rsidRPr="00307848">
        <w:rPr>
          <w:sz w:val="22"/>
          <w:szCs w:val="22"/>
        </w:rPr>
        <w:t xml:space="preserve">Se più operatori economici compartecipano alla procedura di appalto sotto forma di soggetto gruppo costituendo (intendendosi per tale i soggetti ex art.45, comma 2, lett. d), e), f), g), </w:t>
      </w:r>
      <w:r w:rsidR="00307848" w:rsidRPr="00307848">
        <w:rPr>
          <w:sz w:val="22"/>
          <w:szCs w:val="22"/>
        </w:rPr>
        <w:t>D</w:t>
      </w:r>
      <w:r w:rsidR="00307848" w:rsidRPr="00307848">
        <w:rPr>
          <w:rFonts w:eastAsia="Calibri"/>
          <w:sz w:val="22"/>
          <w:szCs w:val="22"/>
        </w:rPr>
        <w:t xml:space="preserve">. Lgs. n. </w:t>
      </w:r>
      <w:r w:rsidRPr="00307848">
        <w:rPr>
          <w:sz w:val="22"/>
          <w:szCs w:val="22"/>
        </w:rPr>
        <w:t>50/2016), la dichiarazione deve essere sottoscritta con firma digitale da tutti i membri compartecipanti; in caso di soggetto gruppo già costituito nelle forme di Legge, la dichiarazione deve essere sottoscritta digitalmente dal legale rappresentante del soggetto gruppo.</w:t>
      </w:r>
    </w:p>
    <w:p w14:paraId="3F0C7B73" w14:textId="77777777" w:rsidR="000A205E" w:rsidRPr="00307848" w:rsidRDefault="000A205E" w:rsidP="00307848">
      <w:pPr>
        <w:tabs>
          <w:tab w:val="left" w:pos="567"/>
          <w:tab w:val="left" w:pos="851"/>
        </w:tabs>
        <w:spacing w:before="120" w:line="360" w:lineRule="auto"/>
        <w:ind w:left="851" w:hanging="284"/>
        <w:jc w:val="both"/>
        <w:rPr>
          <w:sz w:val="22"/>
          <w:szCs w:val="22"/>
        </w:rPr>
      </w:pPr>
    </w:p>
    <w:p w14:paraId="5CE8B135" w14:textId="77777777" w:rsidR="000A205E" w:rsidRPr="00307848" w:rsidRDefault="000A205E" w:rsidP="00307848">
      <w:pPr>
        <w:tabs>
          <w:tab w:val="left" w:pos="567"/>
          <w:tab w:val="left" w:pos="851"/>
        </w:tabs>
        <w:spacing w:before="120" w:line="360" w:lineRule="auto"/>
        <w:ind w:left="851" w:hanging="284"/>
        <w:jc w:val="center"/>
        <w:rPr>
          <w:sz w:val="22"/>
          <w:szCs w:val="22"/>
        </w:rPr>
      </w:pPr>
    </w:p>
    <w:p w14:paraId="65E33490" w14:textId="693C79C1" w:rsidR="00E65541" w:rsidRPr="00307848" w:rsidRDefault="005C234B" w:rsidP="00307848">
      <w:pPr>
        <w:spacing w:before="120" w:line="360" w:lineRule="auto"/>
        <w:ind w:left="6946"/>
        <w:rPr>
          <w:sz w:val="22"/>
          <w:szCs w:val="22"/>
        </w:rPr>
      </w:pPr>
      <w:r w:rsidRPr="00307848">
        <w:rPr>
          <w:sz w:val="22"/>
          <w:szCs w:val="22"/>
        </w:rPr>
        <w:t>(Firmato Digitalmente)</w:t>
      </w:r>
    </w:p>
    <w:sectPr w:rsidR="00E65541" w:rsidRPr="00307848" w:rsidSect="00201422">
      <w:pgSz w:w="11906" w:h="16838" w:code="9"/>
      <w:pgMar w:top="1418" w:right="1134" w:bottom="1134"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3BE77" w14:textId="77777777" w:rsidR="00F94460" w:rsidRDefault="00F94460" w:rsidP="00FB0523">
      <w:r>
        <w:separator/>
      </w:r>
    </w:p>
  </w:endnote>
  <w:endnote w:type="continuationSeparator" w:id="0">
    <w:p w14:paraId="5DFE9D44" w14:textId="77777777" w:rsidR="00F94460" w:rsidRDefault="00F94460" w:rsidP="00FB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57786" w14:textId="77777777" w:rsidR="00F94460" w:rsidRDefault="00F94460" w:rsidP="00FB0523">
      <w:r>
        <w:separator/>
      </w:r>
    </w:p>
  </w:footnote>
  <w:footnote w:type="continuationSeparator" w:id="0">
    <w:p w14:paraId="4DFD830D" w14:textId="77777777" w:rsidR="00F94460" w:rsidRDefault="00F94460" w:rsidP="00FB0523">
      <w:r>
        <w:continuationSeparator/>
      </w:r>
    </w:p>
  </w:footnote>
  <w:footnote w:id="1">
    <w:p w14:paraId="5D1F1303" w14:textId="77777777" w:rsidR="00DB4502" w:rsidRPr="00307848" w:rsidRDefault="00DB4502" w:rsidP="00DB4502">
      <w:pPr>
        <w:pStyle w:val="Testonotaapidipagina"/>
        <w:jc w:val="both"/>
        <w:rPr>
          <w:sz w:val="16"/>
          <w:szCs w:val="16"/>
        </w:rPr>
      </w:pPr>
      <w:r>
        <w:rPr>
          <w:rStyle w:val="Rimandonotaapidipagina"/>
        </w:rPr>
        <w:footnoteRef/>
      </w:r>
      <w:r>
        <w:t xml:space="preserve"> </w:t>
      </w:r>
      <w:r w:rsidRPr="00307848">
        <w:rPr>
          <w:sz w:val="16"/>
          <w:szCs w:val="16"/>
        </w:rPr>
        <w:t xml:space="preserve">L’art. 48, commi 9 e 10 del d.lgs. 50/2016 asserisce: </w:t>
      </w:r>
    </w:p>
    <w:p w14:paraId="0C294B76" w14:textId="77777777" w:rsidR="00DB4502" w:rsidRPr="00307848" w:rsidRDefault="00DB4502" w:rsidP="00DB4502">
      <w:pPr>
        <w:pStyle w:val="Testonotaapidipagina"/>
        <w:jc w:val="both"/>
        <w:rPr>
          <w:i/>
          <w:sz w:val="16"/>
          <w:szCs w:val="16"/>
        </w:rPr>
      </w:pPr>
      <w:r w:rsidRPr="00307848">
        <w:rPr>
          <w:i/>
          <w:sz w:val="16"/>
          <w:szCs w:val="16"/>
        </w:rPr>
        <w:t xml:space="preserve">“9. </w:t>
      </w:r>
      <w:proofErr w:type="gramStart"/>
      <w:r w:rsidRPr="00307848">
        <w:rPr>
          <w:i/>
          <w:sz w:val="16"/>
          <w:szCs w:val="16"/>
        </w:rPr>
        <w:t>E'</w:t>
      </w:r>
      <w:proofErr w:type="gramEnd"/>
      <w:r w:rsidRPr="00307848">
        <w:rPr>
          <w:i/>
          <w:sz w:val="16"/>
          <w:szCs w:val="16"/>
        </w:rPr>
        <w:t xml:space="preserve"> vietata l'associazione in partecipazione sia durante la procedura di gara sia successivamente all’aggiudicazione. Salvo quanto disposto ai commi 17 e 18, è vietata qualsiasi modificazione alla composizione dei raggruppamenti temporanei e dei consorzi ordinari di concorrenti rispetto a quella risultante dall'impegno presentato in sede di offerta.</w:t>
      </w:r>
    </w:p>
    <w:p w14:paraId="27409A87" w14:textId="77777777" w:rsidR="00DB4502" w:rsidRPr="00B01585" w:rsidRDefault="00DB4502" w:rsidP="00DB4502">
      <w:pPr>
        <w:pStyle w:val="Testonotaapidipagina"/>
        <w:jc w:val="both"/>
        <w:rPr>
          <w:i/>
          <w:sz w:val="22"/>
          <w:szCs w:val="22"/>
        </w:rPr>
      </w:pPr>
      <w:r w:rsidRPr="00307848">
        <w:rPr>
          <w:i/>
          <w:sz w:val="16"/>
          <w:szCs w:val="16"/>
        </w:rPr>
        <w:t>10. L'inosservanza dei divieti di cui al comma 9 comporta l'annullamento dell'aggiudicazione o la nullità del contratto, nonché l'esclusione dei concorrenti riuniti in raggruppamento o consorzio ordinario di concorrenti, concomitanti o successivi alle procedure di affidamento relative al medesimo appalto.”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lowerLetter"/>
      <w:lvlText w:val="%1)"/>
      <w:lvlJc w:val="left"/>
      <w:pPr>
        <w:tabs>
          <w:tab w:val="num" w:pos="0"/>
        </w:tabs>
        <w:ind w:left="786" w:hanging="360"/>
      </w:pPr>
      <w:rPr>
        <w:bCs/>
        <w:strike w:val="0"/>
        <w:dstrike w:val="0"/>
        <w:w w:val="110"/>
      </w:rPr>
    </w:lvl>
    <w:lvl w:ilvl="1">
      <w:start w:val="1"/>
      <w:numFmt w:val="lowerRoman"/>
      <w:lvlText w:val="%2."/>
      <w:lvlJc w:val="right"/>
      <w:pPr>
        <w:tabs>
          <w:tab w:val="num" w:pos="0"/>
        </w:tabs>
        <w:ind w:left="1866" w:hanging="360"/>
      </w:pPr>
      <w:rPr>
        <w:bCs/>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 w15:restartNumberingAfterBreak="0">
    <w:nsid w:val="0000000D"/>
    <w:multiLevelType w:val="multilevel"/>
    <w:tmpl w:val="0000000D"/>
    <w:lvl w:ilvl="0">
      <w:start w:val="1"/>
      <w:numFmt w:val="lowerLetter"/>
      <w:lvlText w:val="%1)"/>
      <w:lvlJc w:val="left"/>
      <w:pPr>
        <w:tabs>
          <w:tab w:val="num" w:pos="709"/>
        </w:tabs>
        <w:ind w:left="1495" w:hanging="360"/>
      </w:pPr>
      <w:rPr>
        <w:bCs/>
        <w:strike w:val="0"/>
        <w:dstrike w:val="0"/>
        <w:w w:val="110"/>
      </w:rPr>
    </w:lvl>
    <w:lvl w:ilvl="1">
      <w:start w:val="1"/>
      <w:numFmt w:val="lowerRoman"/>
      <w:lvlText w:val="%2."/>
      <w:lvlJc w:val="right"/>
      <w:pPr>
        <w:tabs>
          <w:tab w:val="num" w:pos="0"/>
        </w:tabs>
        <w:ind w:left="1866" w:hanging="360"/>
      </w:pPr>
      <w:rPr>
        <w:bCs/>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 w15:restartNumberingAfterBreak="0">
    <w:nsid w:val="1E8A3B33"/>
    <w:multiLevelType w:val="hybridMultilevel"/>
    <w:tmpl w:val="ACB07D74"/>
    <w:lvl w:ilvl="0" w:tplc="68029E8E">
      <w:start w:val="1"/>
      <w:numFmt w:val="lowerLetter"/>
      <w:lvlText w:val="%1)"/>
      <w:lvlJc w:val="left"/>
      <w:pPr>
        <w:ind w:left="786" w:hanging="360"/>
      </w:pPr>
      <w:rPr>
        <w:strike w:val="0"/>
      </w:r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15:restartNumberingAfterBreak="0">
    <w:nsid w:val="4BC61F23"/>
    <w:multiLevelType w:val="hybridMultilevel"/>
    <w:tmpl w:val="55B202A0"/>
    <w:lvl w:ilvl="0" w:tplc="0410000F">
      <w:start w:val="1"/>
      <w:numFmt w:val="decimal"/>
      <w:lvlText w:val="%1."/>
      <w:lvlJc w:val="left"/>
      <w:pPr>
        <w:ind w:left="1325" w:hanging="360"/>
      </w:p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FF"/>
    <w:rsid w:val="000069C5"/>
    <w:rsid w:val="00073B4B"/>
    <w:rsid w:val="000A205E"/>
    <w:rsid w:val="000D1901"/>
    <w:rsid w:val="000D6952"/>
    <w:rsid w:val="000E325A"/>
    <w:rsid w:val="001138DC"/>
    <w:rsid w:val="00131E33"/>
    <w:rsid w:val="00150D82"/>
    <w:rsid w:val="0016740E"/>
    <w:rsid w:val="001C2B32"/>
    <w:rsid w:val="001E3409"/>
    <w:rsid w:val="001E4FBD"/>
    <w:rsid w:val="001F2042"/>
    <w:rsid w:val="001F796C"/>
    <w:rsid w:val="00201422"/>
    <w:rsid w:val="00245F89"/>
    <w:rsid w:val="00296D76"/>
    <w:rsid w:val="002B05A9"/>
    <w:rsid w:val="002C3EFC"/>
    <w:rsid w:val="00307848"/>
    <w:rsid w:val="00340D01"/>
    <w:rsid w:val="00377979"/>
    <w:rsid w:val="00380FEF"/>
    <w:rsid w:val="003C3B43"/>
    <w:rsid w:val="003D5256"/>
    <w:rsid w:val="003E6BC5"/>
    <w:rsid w:val="003F244E"/>
    <w:rsid w:val="00432190"/>
    <w:rsid w:val="0043244D"/>
    <w:rsid w:val="00461EE7"/>
    <w:rsid w:val="004E5AA8"/>
    <w:rsid w:val="004F48DF"/>
    <w:rsid w:val="00505001"/>
    <w:rsid w:val="005265B6"/>
    <w:rsid w:val="00541924"/>
    <w:rsid w:val="00554C39"/>
    <w:rsid w:val="00555169"/>
    <w:rsid w:val="005726F7"/>
    <w:rsid w:val="005C234B"/>
    <w:rsid w:val="005D1AFF"/>
    <w:rsid w:val="0065281A"/>
    <w:rsid w:val="00665A92"/>
    <w:rsid w:val="006A28DE"/>
    <w:rsid w:val="006F24D2"/>
    <w:rsid w:val="00702918"/>
    <w:rsid w:val="007034FA"/>
    <w:rsid w:val="00704CE0"/>
    <w:rsid w:val="007201BA"/>
    <w:rsid w:val="0075723F"/>
    <w:rsid w:val="00772228"/>
    <w:rsid w:val="00772C07"/>
    <w:rsid w:val="00772F17"/>
    <w:rsid w:val="007A46F3"/>
    <w:rsid w:val="007A5CC4"/>
    <w:rsid w:val="0080105C"/>
    <w:rsid w:val="00891D0C"/>
    <w:rsid w:val="008D053E"/>
    <w:rsid w:val="008D7C32"/>
    <w:rsid w:val="008E07E2"/>
    <w:rsid w:val="00927A88"/>
    <w:rsid w:val="00944F04"/>
    <w:rsid w:val="00964268"/>
    <w:rsid w:val="00974AAB"/>
    <w:rsid w:val="009868A8"/>
    <w:rsid w:val="00994367"/>
    <w:rsid w:val="009D7E40"/>
    <w:rsid w:val="009E1333"/>
    <w:rsid w:val="00A93BBB"/>
    <w:rsid w:val="00AC5A4D"/>
    <w:rsid w:val="00AF151C"/>
    <w:rsid w:val="00B224A8"/>
    <w:rsid w:val="00B7760B"/>
    <w:rsid w:val="00BD4466"/>
    <w:rsid w:val="00BE2BC6"/>
    <w:rsid w:val="00BF05C6"/>
    <w:rsid w:val="00C00367"/>
    <w:rsid w:val="00C073C0"/>
    <w:rsid w:val="00C12C5A"/>
    <w:rsid w:val="00C17C85"/>
    <w:rsid w:val="00C335DD"/>
    <w:rsid w:val="00CA0058"/>
    <w:rsid w:val="00D218D8"/>
    <w:rsid w:val="00D944DF"/>
    <w:rsid w:val="00DB4502"/>
    <w:rsid w:val="00DC04A9"/>
    <w:rsid w:val="00DD2B2E"/>
    <w:rsid w:val="00DE498A"/>
    <w:rsid w:val="00DE7364"/>
    <w:rsid w:val="00E145F3"/>
    <w:rsid w:val="00E5794A"/>
    <w:rsid w:val="00E65541"/>
    <w:rsid w:val="00EB43B1"/>
    <w:rsid w:val="00EC5F0C"/>
    <w:rsid w:val="00ED5F60"/>
    <w:rsid w:val="00EF7741"/>
    <w:rsid w:val="00F3484E"/>
    <w:rsid w:val="00F55483"/>
    <w:rsid w:val="00F57BF6"/>
    <w:rsid w:val="00F94460"/>
    <w:rsid w:val="00FB052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A005"/>
  <w15:docId w15:val="{152F3991-0464-4D9A-9826-70CA6200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052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FB0523"/>
    <w:rPr>
      <w:sz w:val="20"/>
      <w:szCs w:val="20"/>
    </w:rPr>
  </w:style>
  <w:style w:type="character" w:customStyle="1" w:styleId="TestonotaapidipaginaCarattere">
    <w:name w:val="Testo nota a piè di pagina Carattere"/>
    <w:basedOn w:val="Carpredefinitoparagrafo"/>
    <w:link w:val="Testonotaapidipagina"/>
    <w:uiPriority w:val="99"/>
    <w:rsid w:val="00FB0523"/>
    <w:rPr>
      <w:rFonts w:ascii="Times New Roman" w:eastAsia="Times New Roman" w:hAnsi="Times New Roman" w:cs="Times New Roman"/>
      <w:sz w:val="20"/>
      <w:szCs w:val="20"/>
      <w:lang w:eastAsia="it-IT"/>
    </w:rPr>
  </w:style>
  <w:style w:type="character" w:styleId="Rimandonotaapidipagina">
    <w:name w:val="footnote reference"/>
    <w:rsid w:val="00FB0523"/>
    <w:rPr>
      <w:vertAlign w:val="superscript"/>
    </w:rPr>
  </w:style>
  <w:style w:type="paragraph" w:customStyle="1" w:styleId="Normale1">
    <w:name w:val="Normale1"/>
    <w:basedOn w:val="Normale"/>
    <w:rsid w:val="007A5CC4"/>
    <w:pPr>
      <w:spacing w:before="120"/>
      <w:jc w:val="both"/>
    </w:pPr>
  </w:style>
  <w:style w:type="paragraph" w:styleId="Paragrafoelenco">
    <w:name w:val="List Paragraph"/>
    <w:basedOn w:val="Normale"/>
    <w:uiPriority w:val="34"/>
    <w:qFormat/>
    <w:rsid w:val="003E6BC5"/>
    <w:pPr>
      <w:ind w:left="720"/>
      <w:contextualSpacing/>
    </w:pPr>
  </w:style>
  <w:style w:type="paragraph" w:styleId="Testofumetto">
    <w:name w:val="Balloon Text"/>
    <w:basedOn w:val="Normale"/>
    <w:link w:val="TestofumettoCarattere"/>
    <w:uiPriority w:val="99"/>
    <w:semiHidden/>
    <w:unhideWhenUsed/>
    <w:rsid w:val="00974A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4AAB"/>
    <w:rPr>
      <w:rFonts w:ascii="Segoe UI" w:eastAsia="Times New Roman" w:hAnsi="Segoe UI" w:cs="Segoe UI"/>
      <w:sz w:val="18"/>
      <w:szCs w:val="18"/>
      <w:lang w:eastAsia="it-IT"/>
    </w:rPr>
  </w:style>
  <w:style w:type="paragraph" w:styleId="Rientrocorpodeltesto">
    <w:name w:val="Body Text Indent"/>
    <w:basedOn w:val="Normale"/>
    <w:link w:val="RientrocorpodeltestoCarattere"/>
    <w:semiHidden/>
    <w:rsid w:val="00DB4502"/>
    <w:pPr>
      <w:ind w:left="4820" w:hanging="572"/>
    </w:pPr>
    <w:rPr>
      <w:rFonts w:ascii="Bookman Old Style" w:hAnsi="Bookman Old Style"/>
      <w:b/>
      <w:szCs w:val="20"/>
      <w:lang w:val="x-none" w:eastAsia="x-none"/>
    </w:rPr>
  </w:style>
  <w:style w:type="character" w:customStyle="1" w:styleId="RientrocorpodeltestoCarattere">
    <w:name w:val="Rientro corpo del testo Carattere"/>
    <w:basedOn w:val="Carpredefinitoparagrafo"/>
    <w:link w:val="Rientrocorpodeltesto"/>
    <w:semiHidden/>
    <w:rsid w:val="00DB4502"/>
    <w:rPr>
      <w:rFonts w:ascii="Bookman Old Style" w:eastAsia="Times New Roman" w:hAnsi="Bookman Old Style"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2359</Words>
  <Characters>13450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Bertolino</dc:creator>
  <cp:lastModifiedBy>BuscaCastellino</cp:lastModifiedBy>
  <cp:revision>15</cp:revision>
  <dcterms:created xsi:type="dcterms:W3CDTF">2020-02-12T15:47:00Z</dcterms:created>
  <dcterms:modified xsi:type="dcterms:W3CDTF">2022-11-03T09:42:00Z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fIDOlimpoDoc">
    <vt:lpwstr>474507-1235633</vt:lpwstr>
  </property>
</Properties>
</file>