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4458F" w14:textId="77777777" w:rsidR="00CD2796" w:rsidRPr="00E56D43" w:rsidRDefault="003E75B7">
      <w:pPr>
        <w:widowControl w:val="0"/>
        <w:autoSpaceDE w:val="0"/>
        <w:autoSpaceDN w:val="0"/>
        <w:adjustRightInd w:val="0"/>
        <w:spacing w:before="120" w:after="120" w:line="480" w:lineRule="exact"/>
        <w:jc w:val="center"/>
        <w:rPr>
          <w:b/>
          <w:bCs/>
          <w:sz w:val="28"/>
          <w:szCs w:val="28"/>
          <w:u w:val="single"/>
        </w:rPr>
      </w:pPr>
      <w:r w:rsidRPr="00E56D43">
        <w:rPr>
          <w:b/>
          <w:bCs/>
          <w:sz w:val="28"/>
          <w:szCs w:val="28"/>
          <w:u w:val="single"/>
        </w:rPr>
        <w:t xml:space="preserve">Allegato </w:t>
      </w:r>
      <w:r w:rsidR="007414CB" w:rsidRPr="00E56D43">
        <w:rPr>
          <w:b/>
          <w:bCs/>
          <w:sz w:val="28"/>
          <w:szCs w:val="28"/>
          <w:u w:val="single"/>
        </w:rPr>
        <w:t>G</w:t>
      </w:r>
    </w:p>
    <w:p w14:paraId="10FD6EB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658E4929" w14:textId="77777777" w:rsidR="008F4288" w:rsidRPr="00E56D43" w:rsidRDefault="00AA702E">
      <w:pPr>
        <w:widowControl w:val="0"/>
        <w:autoSpaceDE w:val="0"/>
        <w:autoSpaceDN w:val="0"/>
        <w:adjustRightInd w:val="0"/>
        <w:spacing w:before="120" w:after="120" w:line="480" w:lineRule="exact"/>
        <w:jc w:val="center"/>
        <w:rPr>
          <w:b/>
          <w:sz w:val="28"/>
          <w:szCs w:val="28"/>
          <w:lang w:val="en-US"/>
        </w:rPr>
      </w:pPr>
      <w:r w:rsidRPr="00E56D43">
        <w:rPr>
          <w:b/>
          <w:sz w:val="28"/>
          <w:szCs w:val="28"/>
          <w:lang w:val="en-US"/>
        </w:rPr>
        <w:t>art. 80, d.lgs.</w:t>
      </w:r>
      <w:r w:rsidR="00CD2796" w:rsidRPr="00E56D43">
        <w:rPr>
          <w:b/>
          <w:sz w:val="28"/>
          <w:szCs w:val="28"/>
          <w:lang w:val="en-US"/>
        </w:rPr>
        <w:t xml:space="preserve"> </w:t>
      </w:r>
      <w:r w:rsidR="00C16B96" w:rsidRPr="00E56D43">
        <w:rPr>
          <w:b/>
          <w:sz w:val="28"/>
          <w:szCs w:val="28"/>
          <w:lang w:val="en-US"/>
        </w:rPr>
        <w:t xml:space="preserve">n. </w:t>
      </w:r>
      <w:r w:rsidR="001A5418" w:rsidRPr="00E56D43">
        <w:rPr>
          <w:b/>
          <w:sz w:val="28"/>
          <w:szCs w:val="28"/>
          <w:lang w:val="en-US"/>
        </w:rPr>
        <w:t>50/</w:t>
      </w:r>
      <w:r w:rsidRPr="00E56D43">
        <w:rPr>
          <w:b/>
          <w:sz w:val="28"/>
          <w:szCs w:val="28"/>
          <w:lang w:val="en-US"/>
        </w:rPr>
        <w:t>16</w:t>
      </w:r>
      <w:r w:rsidR="00444798" w:rsidRPr="00E56D43">
        <w:rPr>
          <w:b/>
          <w:sz w:val="28"/>
          <w:szCs w:val="28"/>
          <w:lang w:val="en-US"/>
        </w:rPr>
        <w:t xml:space="preserve"> s.m.i.</w:t>
      </w:r>
    </w:p>
    <w:p w14:paraId="1E999771" w14:textId="77777777" w:rsidR="00603EF6" w:rsidRPr="00E56D43" w:rsidRDefault="00603EF6">
      <w:pPr>
        <w:widowControl w:val="0"/>
        <w:autoSpaceDE w:val="0"/>
        <w:autoSpaceDN w:val="0"/>
        <w:adjustRightInd w:val="0"/>
        <w:spacing w:before="120" w:after="120" w:line="480" w:lineRule="exact"/>
        <w:jc w:val="center"/>
        <w:rPr>
          <w:b/>
          <w:sz w:val="28"/>
          <w:szCs w:val="28"/>
          <w:lang w:val="en-US"/>
        </w:rPr>
      </w:pPr>
    </w:p>
    <w:p w14:paraId="055392F6" w14:textId="77777777" w:rsidR="00E32CDC" w:rsidRPr="00E56D43" w:rsidRDefault="00E32CDC" w:rsidP="000456BC">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lang w:val="en-US"/>
        </w:rPr>
      </w:pPr>
    </w:p>
    <w:p w14:paraId="02184338" w14:textId="1E8F824B" w:rsidR="00887177" w:rsidRDefault="00887177" w:rsidP="0074629D">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887177">
        <w:rPr>
          <w:rFonts w:ascii="Times New Roman" w:hAnsi="Times New Roman"/>
          <w:b w:val="0"/>
          <w:caps/>
          <w:sz w:val="24"/>
          <w:szCs w:val="24"/>
        </w:rPr>
        <w:t>PROCEDURA APERTA AI SENSI DEL COMBINATO DISPOSTO DEGLI ARTT. 30, 34, 36, 42, 40, COMMA 2, 44, 52, 58, 60, 95 E 216 DEL D.LGS. 50/16, 12, COMMA 2, DELLA L. 80/14, 60 E SGG, E ALLEGATO A DEL DPR 207/10, DEL D.L. 76/20, CONV. IN LEGGE 120/20, DEL D.L. 77/21, CONV. IN LEGGE 108/21 E DELLA L. 238/21 FINALIZZATA ALLA INDIVIDUAZIONE DELL’OPERATORE ECONOMICO CON CUI STIPULARE, A CORPO, IL CONTRATTO DI APPALTO DI LAVORI PUBBLICI AVENTE AD OGGETTO LA REALIZZAZIONE DEL CAMPO DA CALCIO IN ERBA SINTETICA NEL COMPLESSO SPORTIVO "ING. FERRERO" MEDIANTE TRASFORMAZIONE DEL CAMPO DA CALCIO PER L’ALLENAMENTO IN CAMPO PER IL GIOCO DEL CALCIO A 11 OMOLOGATO IN BUSCA (CN).</w:t>
      </w:r>
    </w:p>
    <w:p w14:paraId="02863ECF" w14:textId="77777777" w:rsidR="00887177" w:rsidRPr="00887177" w:rsidRDefault="00887177" w:rsidP="00887177"/>
    <w:p w14:paraId="2572139A" w14:textId="77777777" w:rsidR="00AA702E" w:rsidRPr="0046688E" w:rsidRDefault="00AA702E" w:rsidP="00AA702E">
      <w:pPr>
        <w:spacing w:line="490" w:lineRule="exact"/>
        <w:jc w:val="both"/>
      </w:pPr>
    </w:p>
    <w:p w14:paraId="2466C14E" w14:textId="77777777" w:rsidR="00E31087" w:rsidRDefault="00AA702E"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rsidR="00E31087">
        <w:t xml:space="preserve">. </w:t>
      </w:r>
      <w:r>
        <w:rPr>
          <w:b/>
        </w:rPr>
        <w:t xml:space="preserve">dichiara </w:t>
      </w:r>
    </w:p>
    <w:p w14:paraId="15129652" w14:textId="77777777" w:rsidR="00E31087" w:rsidRDefault="00E31087" w:rsidP="00AA702E">
      <w:pPr>
        <w:spacing w:line="490" w:lineRule="exact"/>
        <w:jc w:val="both"/>
        <w:rPr>
          <w:b/>
        </w:rPr>
      </w:pPr>
    </w:p>
    <w:p w14:paraId="051D781F" w14:textId="77777777" w:rsidR="00E31087" w:rsidRDefault="00E31087"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5695F6CE" w14:textId="77777777" w:rsidR="00444FC1" w:rsidRDefault="00444FC1" w:rsidP="00AA702E">
      <w:pPr>
        <w:spacing w:line="490" w:lineRule="exact"/>
        <w:jc w:val="both"/>
        <w:rPr>
          <w:b/>
        </w:rPr>
      </w:pPr>
    </w:p>
    <w:p w14:paraId="522A29DB" w14:textId="77777777" w:rsidR="00444FC1" w:rsidRDefault="00444FC1" w:rsidP="00444FC1">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36949B6A" w14:textId="77777777" w:rsidR="00444FC1" w:rsidRDefault="00444FC1" w:rsidP="00444FC1">
      <w:pPr>
        <w:spacing w:line="490" w:lineRule="exact"/>
        <w:jc w:val="both"/>
        <w:rPr>
          <w:b/>
        </w:rPr>
      </w:pPr>
    </w:p>
    <w:p w14:paraId="7E1AF7B6" w14:textId="77777777" w:rsidR="00E31087" w:rsidRDefault="00E31087" w:rsidP="00AA702E">
      <w:pPr>
        <w:spacing w:line="490" w:lineRule="exact"/>
        <w:jc w:val="both"/>
        <w:rPr>
          <w:b/>
        </w:rPr>
      </w:pPr>
    </w:p>
    <w:p w14:paraId="6B9E08E3" w14:textId="77777777" w:rsidR="00F86BDD" w:rsidRPr="00AA702E" w:rsidRDefault="00AA702E" w:rsidP="00AA702E">
      <w:pPr>
        <w:spacing w:line="490" w:lineRule="exact"/>
        <w:jc w:val="both"/>
      </w:pPr>
      <w:r w:rsidRPr="00E31087">
        <w:rPr>
          <w:b/>
        </w:rPr>
        <w:lastRenderedPageBreak/>
        <w:t>l’insussistenza</w:t>
      </w:r>
      <w:r w:rsidRPr="00AA702E">
        <w:t xml:space="preserve"> delle cause di esclusione di ordine generale di cui all'art. 80, commi 1, 2, 3, 4 e 5, d.lgs.  50/2016</w:t>
      </w:r>
      <w:r>
        <w:rPr>
          <w:rStyle w:val="Rimandonotaapidipagina"/>
        </w:rPr>
        <w:footnoteReference w:id="1"/>
      </w:r>
      <w:r>
        <w:t>.</w:t>
      </w:r>
    </w:p>
    <w:p w14:paraId="28C7CB67" w14:textId="77777777" w:rsidR="008F4288" w:rsidRPr="00820487" w:rsidRDefault="008F4288" w:rsidP="00820487">
      <w:pPr>
        <w:spacing w:line="490" w:lineRule="exact"/>
        <w:jc w:val="both"/>
      </w:pPr>
      <w:r w:rsidRPr="00221529">
        <w:rPr>
          <w:b/>
          <w:iCs/>
        </w:rPr>
        <w:lastRenderedPageBreak/>
        <w:t>Se più operatori economici compartecipano</w:t>
      </w:r>
      <w:r w:rsidRPr="00820487">
        <w:rPr>
          <w:iCs/>
        </w:rPr>
        <w:t xml:space="preserve"> alla procedura di appalto sotto forma di </w:t>
      </w:r>
      <w:r w:rsidRPr="00820487">
        <w:rPr>
          <w:b/>
          <w:iCs/>
        </w:rPr>
        <w:t>soggetto gruppo costituendo</w:t>
      </w:r>
      <w:r w:rsidRPr="00820487">
        <w:rPr>
          <w:iCs/>
        </w:rPr>
        <w:t xml:space="preserve"> </w:t>
      </w:r>
      <w:r w:rsidR="00E31087" w:rsidRPr="00820487">
        <w:rPr>
          <w:iCs/>
        </w:rPr>
        <w:t>o</w:t>
      </w:r>
      <w:r w:rsidR="00E31087" w:rsidRPr="00820487">
        <w:rPr>
          <w:b/>
          <w:iCs/>
        </w:rPr>
        <w:t xml:space="preserve"> già costituito</w:t>
      </w:r>
      <w:r w:rsidR="00E31087" w:rsidRPr="00820487">
        <w:rPr>
          <w:iCs/>
        </w:rPr>
        <w:t xml:space="preserve"> </w:t>
      </w:r>
      <w:r w:rsidRPr="00820487">
        <w:rPr>
          <w:iCs/>
        </w:rPr>
        <w:t>(intendendosi per tale i soggetti ex art.</w:t>
      </w:r>
      <w:r w:rsidR="00CD2796" w:rsidRPr="00820487">
        <w:rPr>
          <w:iCs/>
        </w:rPr>
        <w:t xml:space="preserve"> </w:t>
      </w:r>
      <w:r w:rsidRPr="00820487">
        <w:rPr>
          <w:iCs/>
        </w:rPr>
        <w:t xml:space="preserve">45, comma 2, lett. d), e), f), g), </w:t>
      </w:r>
      <w:r w:rsidR="004124C0" w:rsidRPr="00820487">
        <w:rPr>
          <w:iCs/>
        </w:rPr>
        <w:t>d</w:t>
      </w:r>
      <w:r w:rsidRPr="00820487">
        <w:rPr>
          <w:iCs/>
        </w:rPr>
        <w:t>.</w:t>
      </w:r>
      <w:r w:rsidR="004124C0" w:rsidRPr="00820487">
        <w:rPr>
          <w:iCs/>
        </w:rPr>
        <w:t>l</w:t>
      </w:r>
      <w:r w:rsidRPr="00820487">
        <w:rPr>
          <w:iCs/>
        </w:rPr>
        <w:t xml:space="preserve">gs. 50/2016), la dichiarazione deve essere sottoscritta con firma </w:t>
      </w:r>
      <w:r w:rsidR="00913EAA" w:rsidRPr="00820487">
        <w:rPr>
          <w:iCs/>
        </w:rPr>
        <w:t>digitale</w:t>
      </w:r>
      <w:r w:rsidRPr="00820487">
        <w:rPr>
          <w:iCs/>
        </w:rPr>
        <w:t xml:space="preserve"> da </w:t>
      </w:r>
      <w:r w:rsidRPr="00820487">
        <w:rPr>
          <w:b/>
          <w:iCs/>
        </w:rPr>
        <w:t>tutti</w:t>
      </w:r>
      <w:r w:rsidRPr="00820487">
        <w:rPr>
          <w:iCs/>
        </w:rPr>
        <w:t xml:space="preserve"> i membri</w:t>
      </w:r>
      <w:r w:rsidR="000B26E7" w:rsidRPr="00820487">
        <w:rPr>
          <w:iCs/>
        </w:rPr>
        <w:t xml:space="preserve"> compartecipanti</w:t>
      </w:r>
      <w:r w:rsidR="00E31087" w:rsidRPr="00820487">
        <w:rPr>
          <w:iCs/>
        </w:rPr>
        <w:t xml:space="preserve"> del gruppo</w:t>
      </w:r>
      <w:r w:rsidRPr="00820487">
        <w:rPr>
          <w:iCs/>
        </w:rPr>
        <w:t>.</w:t>
      </w:r>
      <w:r w:rsidR="0009102C" w:rsidRPr="00820487">
        <w:t xml:space="preserve"> </w:t>
      </w:r>
    </w:p>
    <w:p w14:paraId="13D2E74B" w14:textId="77777777" w:rsidR="00847D2B" w:rsidRDefault="00A83879" w:rsidP="00847D2B">
      <w:pPr>
        <w:widowControl w:val="0"/>
        <w:autoSpaceDE w:val="0"/>
        <w:autoSpaceDN w:val="0"/>
        <w:adjustRightInd w:val="0"/>
        <w:spacing w:before="120" w:after="120" w:line="480" w:lineRule="exact"/>
        <w:jc w:val="center"/>
      </w:pPr>
      <w:r>
        <w:t>FIRMA DIGITALE</w:t>
      </w:r>
      <w:r w:rsidR="00847D2B" w:rsidRPr="00847D2B">
        <w:t xml:space="preserve"> </w:t>
      </w:r>
      <w:bookmarkStart w:id="0" w:name="_GoBack"/>
      <w:bookmarkEnd w:id="0"/>
    </w:p>
    <w:p w14:paraId="1CFFD68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1DD6C2C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52FC1BAC" w14:textId="77777777" w:rsidR="00820487" w:rsidRDefault="00820487" w:rsidP="00820487">
      <w:pPr>
        <w:pStyle w:val="NormaleWeb"/>
        <w:rPr>
          <w:rFonts w:ascii="Tahoma" w:hAnsi="Tahoma" w:cs="Tahoma"/>
          <w:b/>
          <w:bCs/>
          <w:sz w:val="20"/>
          <w:szCs w:val="20"/>
        </w:rPr>
      </w:pPr>
      <w:bookmarkStart w:id="1" w:name="28"/>
    </w:p>
    <w:p w14:paraId="2CBE7039" w14:textId="77777777" w:rsidR="00820487" w:rsidRDefault="00820487" w:rsidP="00820487">
      <w:pPr>
        <w:spacing w:line="490" w:lineRule="exact"/>
        <w:jc w:val="both"/>
        <w:rPr>
          <w:iCs/>
        </w:rPr>
      </w:pPr>
      <w:r w:rsidRPr="00CE593D">
        <w:rPr>
          <w:b/>
          <w:iCs/>
          <w:u w:val="single"/>
        </w:rPr>
        <w:lastRenderedPageBreak/>
        <w:t>NB</w:t>
      </w:r>
      <w:r w:rsidRPr="00820487">
        <w:rPr>
          <w:iCs/>
        </w:rPr>
        <w:t xml:space="preserve">: si precisa che ai sensi dell’art. 7 </w:t>
      </w:r>
      <w:r w:rsidRPr="00C35630">
        <w:rPr>
          <w:i/>
          <w:iCs/>
        </w:rPr>
        <w:t>(</w:t>
      </w:r>
      <w:r w:rsidR="00C532CA" w:rsidRPr="00C35630">
        <w:rPr>
          <w:i/>
          <w:iCs/>
        </w:rPr>
        <w:t>“</w:t>
      </w:r>
      <w:r w:rsidRPr="00C35630">
        <w:rPr>
          <w:i/>
          <w:iCs/>
        </w:rPr>
        <w:t>Entrata in vigore</w:t>
      </w:r>
      <w:r w:rsidR="00C532CA" w:rsidRPr="00C35630">
        <w:rPr>
          <w:i/>
          <w:iCs/>
        </w:rPr>
        <w:t>”</w:t>
      </w:r>
      <w:r w:rsidRPr="00C35630">
        <w:rPr>
          <w:i/>
          <w:iCs/>
        </w:rPr>
        <w:t>)</w:t>
      </w:r>
      <w:r w:rsidRPr="00820487">
        <w:rPr>
          <w:iCs/>
        </w:rPr>
        <w:t xml:space="preserve"> </w:t>
      </w:r>
      <w:r w:rsidR="00CE593D" w:rsidRPr="00820487">
        <w:rPr>
          <w:iCs/>
        </w:rPr>
        <w:t xml:space="preserve">del </w:t>
      </w:r>
      <w:r w:rsidR="00CE593D" w:rsidRPr="007562D3">
        <w:rPr>
          <w:b/>
          <w:iCs/>
        </w:rPr>
        <w:t xml:space="preserve">d.lgs. n. 122 del 2018 </w:t>
      </w:r>
      <w:r w:rsidR="00CE593D" w:rsidRPr="006E68ED">
        <w:rPr>
          <w:i/>
          <w:iCs/>
        </w:rPr>
        <w:t>“Disposizioni per la revisione della disciplina del casellario giudiziale, in attuazione della delega di cui all'articolo 1, commi 18 e 19, della legge 23 giugno 2017, n. 103</w:t>
      </w:r>
      <w:r w:rsidR="006E68ED">
        <w:rPr>
          <w:i/>
          <w:iCs/>
        </w:rPr>
        <w:t>”,</w:t>
      </w:r>
      <w:r w:rsidR="00CE593D" w:rsidRPr="00CE593D">
        <w:rPr>
          <w:iCs/>
        </w:rPr>
        <w:t xml:space="preserve"> </w:t>
      </w:r>
      <w:r w:rsidR="00CE593D" w:rsidRPr="007562D3">
        <w:rPr>
          <w:b/>
          <w:iCs/>
        </w:rPr>
        <w:t>pubblicato in</w:t>
      </w:r>
      <w:r w:rsidR="00CE593D">
        <w:rPr>
          <w:iCs/>
        </w:rPr>
        <w:t xml:space="preserve"> </w:t>
      </w:r>
      <w:hyperlink r:id="rId8" w:tgtFrame="_blank" w:history="1">
        <w:r w:rsidR="00CE593D" w:rsidRPr="00C135E3">
          <w:rPr>
            <w:b/>
            <w:iCs/>
          </w:rPr>
          <w:t>(GURI Serie Generale n.250 del 26-10-2018</w:t>
        </w:r>
        <w:r w:rsidR="00CE593D" w:rsidRPr="00CE593D">
          <w:rPr>
            <w:iCs/>
          </w:rPr>
          <w:t xml:space="preserve"> - </w:t>
        </w:r>
        <w:r w:rsidR="00CE593D" w:rsidRPr="007562D3">
          <w:rPr>
            <w:b/>
            <w:iCs/>
          </w:rPr>
          <w:t>Suppl. Ordinario n. 50/L</w:t>
        </w:r>
        <w:r w:rsidR="00CE593D" w:rsidRPr="00CE593D">
          <w:rPr>
            <w:iCs/>
          </w:rPr>
          <w:t>)</w:t>
        </w:r>
      </w:hyperlink>
      <w:r w:rsidR="00167F92">
        <w:rPr>
          <w:iCs/>
        </w:rPr>
        <w:t>,</w:t>
      </w:r>
      <w:r w:rsidR="008A026E" w:rsidRPr="00CE593D">
        <w:rPr>
          <w:iCs/>
        </w:rPr>
        <w:t xml:space="preserve"> </w:t>
      </w:r>
      <w:r w:rsidRPr="00820487">
        <w:rPr>
          <w:iCs/>
        </w:rPr>
        <w:t xml:space="preserve">tutte le disposizioni ivi contenute acquistano efficacia </w:t>
      </w:r>
      <w:r w:rsidRPr="00B0490B">
        <w:rPr>
          <w:iCs/>
          <w:u w:val="single"/>
        </w:rPr>
        <w:t>decorso un anno dalla pubblicazione del decreto nella Gazzetta Ufficiale</w:t>
      </w:r>
      <w:r w:rsidRPr="00820487">
        <w:rPr>
          <w:iCs/>
        </w:rPr>
        <w:t>.</w:t>
      </w:r>
    </w:p>
    <w:p w14:paraId="20E41346" w14:textId="77777777" w:rsidR="00167F92" w:rsidRDefault="00167F92" w:rsidP="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C432BA" w14:textId="77777777" w:rsidR="00790550" w:rsidRDefault="00B0490B" w:rsidP="00933633">
      <w:pPr>
        <w:spacing w:line="490" w:lineRule="exact"/>
        <w:jc w:val="both"/>
        <w:rPr>
          <w:iCs/>
        </w:rPr>
      </w:pPr>
      <w:r w:rsidRPr="005E4A33">
        <w:rPr>
          <w:iCs/>
          <w:u w:val="single"/>
        </w:rPr>
        <w:t>Si segnala</w:t>
      </w:r>
      <w:r w:rsidRPr="005E4A33">
        <w:rPr>
          <w:iCs/>
        </w:rPr>
        <w:t xml:space="preserve"> </w:t>
      </w:r>
      <w:r>
        <w:rPr>
          <w:iCs/>
        </w:rPr>
        <w:t>i</w:t>
      </w:r>
      <w:r w:rsidR="00C532CA" w:rsidRPr="00C532CA">
        <w:rPr>
          <w:iCs/>
        </w:rPr>
        <w:t>n particolare l’art.</w:t>
      </w:r>
      <w:r w:rsidR="00820487" w:rsidRPr="00C532CA">
        <w:rPr>
          <w:iCs/>
        </w:rPr>
        <w:t xml:space="preserve"> 28</w:t>
      </w:r>
      <w:bookmarkEnd w:id="1"/>
      <w:r w:rsidR="00167F92">
        <w:rPr>
          <w:iCs/>
        </w:rPr>
        <w:t>, commi 7</w:t>
      </w:r>
      <w:r w:rsidR="00BE61CD">
        <w:rPr>
          <w:iCs/>
        </w:rPr>
        <w:t>,</w:t>
      </w:r>
      <w:r w:rsidR="00167F92">
        <w:rPr>
          <w:iCs/>
        </w:rPr>
        <w:t xml:space="preserve"> 8</w:t>
      </w:r>
      <w:r w:rsidR="00820487" w:rsidRPr="00C532CA">
        <w:rPr>
          <w:iCs/>
        </w:rPr>
        <w:t xml:space="preserve"> </w:t>
      </w:r>
      <w:r w:rsidR="00BE61CD">
        <w:rPr>
          <w:iCs/>
        </w:rPr>
        <w:t xml:space="preserve">e 9 </w:t>
      </w:r>
      <w:r w:rsidR="00C532CA" w:rsidRPr="00C35630">
        <w:rPr>
          <w:i/>
          <w:iCs/>
        </w:rPr>
        <w:t>(“</w:t>
      </w:r>
      <w:r w:rsidR="00820487" w:rsidRPr="00C35630">
        <w:rPr>
          <w:i/>
          <w:iCs/>
        </w:rPr>
        <w:t>Certificati richiesti dalle amministrazioni pubbliche e gestori di pubblici servizi</w:t>
      </w:r>
      <w:r w:rsidR="00C532CA" w:rsidRPr="00C35630">
        <w:rPr>
          <w:i/>
          <w:iCs/>
        </w:rPr>
        <w:t xml:space="preserve">”) </w:t>
      </w:r>
      <w:r w:rsidR="00161D72">
        <w:rPr>
          <w:iCs/>
        </w:rPr>
        <w:t>introdotto</w:t>
      </w:r>
      <w:r w:rsidR="007562D3">
        <w:rPr>
          <w:iCs/>
        </w:rPr>
        <w:t xml:space="preserve"> </w:t>
      </w:r>
      <w:r w:rsidR="00C532CA" w:rsidRPr="00820487">
        <w:rPr>
          <w:iCs/>
        </w:rPr>
        <w:t>d</w:t>
      </w:r>
      <w:r w:rsidR="007562D3">
        <w:rPr>
          <w:iCs/>
        </w:rPr>
        <w:t>a</w:t>
      </w:r>
      <w:r w:rsidR="00C532CA" w:rsidRPr="00820487">
        <w:rPr>
          <w:iCs/>
        </w:rPr>
        <w:t>l d.lgs. n. 122 del 2018</w:t>
      </w:r>
      <w:r w:rsidR="00C532CA" w:rsidRPr="00790550">
        <w:rPr>
          <w:iCs/>
        </w:rPr>
        <w:t xml:space="preserve"> </w:t>
      </w:r>
      <w:r w:rsidR="00933633">
        <w:rPr>
          <w:iCs/>
        </w:rPr>
        <w:t xml:space="preserve">di modifica del dpr 313/2002 </w:t>
      </w:r>
      <w:r w:rsidR="00933633" w:rsidRPr="00933633">
        <w:rPr>
          <w:i/>
          <w:iCs/>
        </w:rPr>
        <w:t>“Testo unico delle disposizioni legislative e regolamentari in materia di casellario giudiziale, di casellario giudiziale europeo, di anagrafe delle sanzioni amministrative dipendenti da reato e dei relativi carichi pendenti”</w:t>
      </w:r>
      <w:r w:rsidR="00933633">
        <w:rPr>
          <w:iCs/>
        </w:rPr>
        <w:t xml:space="preserve">, </w:t>
      </w:r>
      <w:r>
        <w:rPr>
          <w:iCs/>
        </w:rPr>
        <w:t xml:space="preserve">che </w:t>
      </w:r>
      <w:r w:rsidR="00C532CA" w:rsidRPr="00790550">
        <w:rPr>
          <w:iCs/>
        </w:rPr>
        <w:t>dispone:</w:t>
      </w:r>
    </w:p>
    <w:p w14:paraId="49DB02A7" w14:textId="77777777" w:rsidR="00820487" w:rsidRPr="00C532CA" w:rsidRDefault="00820487" w:rsidP="00790550">
      <w:pPr>
        <w:pStyle w:val="Testonotaapidipagina"/>
        <w:ind w:left="284" w:right="566"/>
        <w:jc w:val="both"/>
        <w:rPr>
          <w:i/>
          <w:sz w:val="22"/>
          <w:szCs w:val="22"/>
        </w:rPr>
      </w:pPr>
      <w:r w:rsidRPr="00C532CA">
        <w:rPr>
          <w:iCs/>
          <w:sz w:val="24"/>
          <w:szCs w:val="24"/>
        </w:rPr>
        <w:br/>
      </w:r>
      <w:r w:rsidR="00C532CA" w:rsidRPr="00C532CA">
        <w:rPr>
          <w:i/>
          <w:sz w:val="22"/>
          <w:szCs w:val="22"/>
        </w:rPr>
        <w:t>“</w:t>
      </w:r>
      <w:r w:rsidRPr="00C532CA">
        <w:rPr>
          <w:i/>
          <w:sz w:val="22"/>
          <w:szCs w:val="22"/>
        </w:rPr>
        <w:t xml:space="preserve">1. Le amministrazioni pubbliche e i gestori di pubblici servizi, quando è necessario per l'esercizio delle loro funzioni, hanno diritto di ottenere, con le modalità di cui all'articolo 39, in relazione a persone maggiori di età, il certificato selettivo di cui al comma 2 o il certificato generale del casellario giudiziale di cui al comma 3, nonché i certificati di cui agli articoli 27 e 28-bis. </w:t>
      </w:r>
    </w:p>
    <w:p w14:paraId="7201AEE2"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2. Il certificato selettivo contiene le sole iscrizioni esistenti nel casellario giudiziale a carico di un determinato soggetto pertinenti e rilevanti rispetto alle finalità istituzionali dell'amministrazione o del gestore. Ciascuna iscrizione riportata è conforme all'estratto di cui all'articolo 4. </w:t>
      </w:r>
    </w:p>
    <w:p w14:paraId="459F1BB9"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3. Il certificato generale riporta tutte le iscrizioni esistenti nel casellario giudiziale a carico di un determinato soggetto ed è rilasciato quando non può procedersi, sulla base delle disposizioni che regolano i singoli procedimenti amministrativi, alla selezione delle iscrizioni pertinenti e rilevanti. </w:t>
      </w:r>
    </w:p>
    <w:p w14:paraId="03F7595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4. I dati acquisiti dalle amministrazioni pubbliche e dai gestori di pubblici servizi sono trattati nel rispetto delle norme in materia di protezione dei dati personali e solo ai fini del procedimento amministrativo cui si riferisce la richiesta. </w:t>
      </w:r>
    </w:p>
    <w:p w14:paraId="432BC708"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5. Il certificato selettivo è rilasciato dall'ufficio locale del casellario di cui all'articolo 18 quando motivi tecnici ne impediscono temporaneamente il rilascio secondo le modalità di cui all'articolo 39. </w:t>
      </w:r>
    </w:p>
    <w:p w14:paraId="017F68F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6. Il certificato generale è rilasciato dall'ufficio locale del casellario di cui all'articolo 18: </w:t>
      </w:r>
    </w:p>
    <w:p w14:paraId="0FEB2E51" w14:textId="77777777" w:rsidR="003A44B3" w:rsidRDefault="00820487" w:rsidP="00C532CA">
      <w:pPr>
        <w:pStyle w:val="Testonotaapidipagina"/>
        <w:ind w:left="284" w:right="566"/>
        <w:jc w:val="both"/>
        <w:rPr>
          <w:i/>
          <w:sz w:val="22"/>
          <w:szCs w:val="22"/>
        </w:rPr>
      </w:pPr>
      <w:r w:rsidRPr="00C532CA">
        <w:rPr>
          <w:i/>
          <w:sz w:val="22"/>
          <w:szCs w:val="22"/>
        </w:rPr>
        <w:t xml:space="preserve">a) quando motivi tecnici ne impediscono temporaneamente il rilascio secondo le modalità di cui all'articolo 39; </w:t>
      </w:r>
    </w:p>
    <w:p w14:paraId="4C5C97B1"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b) nelle more della stipula o della modifica della convenzione di cui all'articolo 39 e della realizzazione delle procedure informatiche finalizzate all'accesso selettivo; </w:t>
      </w:r>
      <w:r w:rsidRPr="00C532CA">
        <w:rPr>
          <w:i/>
          <w:sz w:val="22"/>
          <w:szCs w:val="22"/>
        </w:rPr>
        <w:br/>
        <w:t xml:space="preserve">c) nel caso di motivate richieste relative a procedimenti amministrativi ulteriori rispetto a quelli indicati in convenzione. </w:t>
      </w:r>
    </w:p>
    <w:p w14:paraId="17344479"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7. Nei certificati di cui ai commi 2 e 3 non sono, in ogni caso, riportate le iscrizioni relative: </w:t>
      </w:r>
    </w:p>
    <w:p w14:paraId="4B33859C" w14:textId="77777777" w:rsidR="003A44B3" w:rsidRPr="00167F92" w:rsidRDefault="00820487" w:rsidP="00C532CA">
      <w:pPr>
        <w:pStyle w:val="Testonotaapidipagina"/>
        <w:ind w:left="284" w:right="566"/>
        <w:jc w:val="both"/>
        <w:rPr>
          <w:b/>
          <w:i/>
          <w:sz w:val="22"/>
          <w:szCs w:val="22"/>
        </w:rPr>
      </w:pPr>
      <w:r w:rsidRPr="00167F92">
        <w:rPr>
          <w:b/>
          <w:i/>
          <w:sz w:val="22"/>
          <w:szCs w:val="22"/>
        </w:rPr>
        <w:t xml:space="preserve">a) alle condanne per contravvenzioni punibili con la sola ammenda e alle condanne per reati estinti a norma dell'articolo 167, primo comma, del codice penale; </w:t>
      </w:r>
      <w:r w:rsidRPr="00167F92">
        <w:rPr>
          <w:b/>
          <w:i/>
          <w:sz w:val="22"/>
          <w:szCs w:val="22"/>
        </w:rPr>
        <w:br/>
        <w:t xml:space="preserve">b) ai provvedimenti che ai sensi dell'articolo 464-quater del codice di procedura penale, dispongono la sospensione del procedimento con messa alla prova, nonché alle sentenze che ai sensi dell'articolo 464-septies del codice di procedura penale dichiarano estinto il reato per esito positivo della messa alla prova; </w:t>
      </w:r>
    </w:p>
    <w:p w14:paraId="12999F98"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c) ai provvedimenti giudiziari che hanno dichiarato la non punibilità ai sensi dell'articolo 131-bis del codice penale. </w:t>
      </w:r>
    </w:p>
    <w:p w14:paraId="2A8C4F9B" w14:textId="77777777" w:rsidR="00820487" w:rsidRPr="00790550" w:rsidRDefault="00820487" w:rsidP="00C532CA">
      <w:pPr>
        <w:pStyle w:val="Testonotaapidipagina"/>
        <w:ind w:left="284" w:right="566"/>
        <w:jc w:val="both"/>
        <w:rPr>
          <w:b/>
          <w:i/>
          <w:sz w:val="22"/>
          <w:szCs w:val="22"/>
        </w:rPr>
      </w:pPr>
      <w:r w:rsidRPr="00790550">
        <w:rPr>
          <w:b/>
          <w:i/>
          <w:sz w:val="22"/>
          <w:szCs w:val="22"/>
        </w:rPr>
        <w:t xml:space="preserve">8. L'interessato che, a norma degli articoli 46 e 47 del d.P.R. 28 dicembre 2000, n. 445, rende dichiarazioni sostitutive relative all'esistenza nel casellario giudiziale di iscrizioni a suo carico, </w:t>
      </w:r>
      <w:r w:rsidRPr="00790550">
        <w:rPr>
          <w:b/>
          <w:i/>
          <w:sz w:val="22"/>
          <w:szCs w:val="22"/>
        </w:rPr>
        <w:lastRenderedPageBreak/>
        <w:t>non è tenuto a indicare la presenza di quelle di cui al comma 7, nonché di cui all'articolo 24, comma 1.</w:t>
      </w:r>
      <w:r w:rsidR="00B643D5">
        <w:rPr>
          <w:rStyle w:val="Rimandonotaapidipagina"/>
          <w:b/>
          <w:i/>
          <w:sz w:val="22"/>
          <w:szCs w:val="22"/>
        </w:rPr>
        <w:footnoteReference w:id="2"/>
      </w:r>
      <w:r w:rsidRPr="00790550">
        <w:rPr>
          <w:b/>
          <w:i/>
          <w:sz w:val="22"/>
          <w:szCs w:val="22"/>
        </w:rPr>
        <w:t xml:space="preserve"> </w:t>
      </w:r>
    </w:p>
    <w:p w14:paraId="63D6A86D" w14:textId="77777777" w:rsidR="00820487" w:rsidRPr="00BE61CD" w:rsidRDefault="00820487" w:rsidP="00C532CA">
      <w:pPr>
        <w:pStyle w:val="Testonotaapidipagina"/>
        <w:ind w:left="284" w:right="566"/>
        <w:jc w:val="both"/>
        <w:rPr>
          <w:b/>
          <w:i/>
          <w:sz w:val="22"/>
          <w:szCs w:val="22"/>
        </w:rPr>
      </w:pPr>
      <w:r w:rsidRPr="00BE61CD">
        <w:rPr>
          <w:b/>
          <w:i/>
          <w:sz w:val="22"/>
          <w:szCs w:val="22"/>
        </w:rPr>
        <w:t>9. I certificati di cui ai commi 2 e 3 riguardanti un cittadino italiano contengono anche l'attestazione relativa alla sussistenza o non di iscrizioni nel casellario giudiziale europeo.</w:t>
      </w:r>
    </w:p>
    <w:p w14:paraId="3D084380" w14:textId="77777777" w:rsidR="00820487" w:rsidRPr="00C532CA" w:rsidRDefault="00820487" w:rsidP="00C532CA">
      <w:pPr>
        <w:pStyle w:val="Testonotaapidipagina"/>
        <w:ind w:left="284" w:right="566"/>
        <w:jc w:val="both"/>
        <w:rPr>
          <w:i/>
          <w:sz w:val="22"/>
          <w:szCs w:val="22"/>
        </w:rPr>
      </w:pPr>
      <w:r w:rsidRPr="00C532CA">
        <w:rPr>
          <w:i/>
          <w:sz w:val="22"/>
          <w:szCs w:val="22"/>
        </w:rPr>
        <w:t>10. In caso di comunicazione prevista dall'articolo 20, comma 3, i certificati contengono il riferimento alla data del decesso.</w:t>
      </w:r>
      <w:r w:rsidR="00C532CA">
        <w:rPr>
          <w:i/>
          <w:sz w:val="22"/>
          <w:szCs w:val="22"/>
        </w:rPr>
        <w:t>”</w:t>
      </w:r>
    </w:p>
    <w:p w14:paraId="0112608B" w14:textId="77777777" w:rsidR="008F4288" w:rsidRPr="00F00E59" w:rsidRDefault="008F4288" w:rsidP="00C532CA">
      <w:pPr>
        <w:widowControl w:val="0"/>
        <w:autoSpaceDE w:val="0"/>
        <w:autoSpaceDN w:val="0"/>
        <w:adjustRightInd w:val="0"/>
        <w:spacing w:before="120" w:after="120" w:line="480" w:lineRule="exact"/>
        <w:ind w:left="284" w:right="566"/>
        <w:jc w:val="center"/>
      </w:pPr>
    </w:p>
    <w:sectPr w:rsidR="008F4288" w:rsidRPr="00F00E59" w:rsidSect="00201422">
      <w:pgSz w:w="11906" w:h="16838" w:code="9"/>
      <w:pgMar w:top="1418"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5F63C" w14:textId="77777777" w:rsidR="009F4939" w:rsidRDefault="009F4939">
      <w:r>
        <w:separator/>
      </w:r>
    </w:p>
  </w:endnote>
  <w:endnote w:type="continuationSeparator" w:id="0">
    <w:p w14:paraId="4C6FA84B" w14:textId="77777777" w:rsidR="009F4939" w:rsidRDefault="009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B3140" w14:textId="77777777" w:rsidR="009F4939" w:rsidRDefault="009F4939">
      <w:r>
        <w:separator/>
      </w:r>
    </w:p>
  </w:footnote>
  <w:footnote w:type="continuationSeparator" w:id="0">
    <w:p w14:paraId="4AB3580D" w14:textId="77777777" w:rsidR="009F4939" w:rsidRDefault="009F4939">
      <w:r>
        <w:continuationSeparator/>
      </w:r>
    </w:p>
  </w:footnote>
  <w:footnote w:id="1">
    <w:p w14:paraId="54FCA402" w14:textId="77777777" w:rsidR="00AA702E" w:rsidRPr="008B26C0" w:rsidRDefault="00AA702E" w:rsidP="00CD2796">
      <w:pPr>
        <w:pStyle w:val="Testonotaapidipagina"/>
        <w:jc w:val="both"/>
        <w:rPr>
          <w:sz w:val="22"/>
          <w:szCs w:val="22"/>
        </w:rPr>
      </w:pPr>
      <w:r w:rsidRPr="008B26C0">
        <w:rPr>
          <w:rStyle w:val="Rimandonotaapidipagina"/>
          <w:sz w:val="22"/>
          <w:szCs w:val="22"/>
        </w:rPr>
        <w:footnoteRef/>
      </w:r>
      <w:r w:rsidRPr="008B26C0">
        <w:rPr>
          <w:sz w:val="22"/>
          <w:szCs w:val="22"/>
        </w:rPr>
        <w:t xml:space="preserve"> Si riporta di seguito il testo dell’art. 80, commi da </w:t>
      </w:r>
      <w:r w:rsidR="00BA48A5" w:rsidRPr="008B26C0">
        <w:rPr>
          <w:sz w:val="22"/>
          <w:szCs w:val="22"/>
        </w:rPr>
        <w:t xml:space="preserve">1 a </w:t>
      </w:r>
      <w:r w:rsidR="009930D3">
        <w:rPr>
          <w:sz w:val="22"/>
          <w:szCs w:val="22"/>
        </w:rPr>
        <w:t>6</w:t>
      </w:r>
      <w:r w:rsidR="00BA48A5" w:rsidRPr="008B26C0">
        <w:rPr>
          <w:sz w:val="22"/>
          <w:szCs w:val="22"/>
        </w:rPr>
        <w:t xml:space="preserve">, d.lgs. </w:t>
      </w:r>
      <w:r w:rsidR="00963FF2">
        <w:rPr>
          <w:sz w:val="22"/>
          <w:szCs w:val="22"/>
        </w:rPr>
        <w:t xml:space="preserve">n. </w:t>
      </w:r>
      <w:r w:rsidR="00BA48A5" w:rsidRPr="008B26C0">
        <w:rPr>
          <w:sz w:val="22"/>
          <w:szCs w:val="22"/>
        </w:rPr>
        <w:t>50/</w:t>
      </w:r>
      <w:r w:rsidRPr="008B26C0">
        <w:rPr>
          <w:sz w:val="22"/>
          <w:szCs w:val="22"/>
        </w:rPr>
        <w:t>16</w:t>
      </w:r>
      <w:r w:rsidR="00AC765D" w:rsidRPr="008B26C0">
        <w:rPr>
          <w:sz w:val="22"/>
          <w:szCs w:val="22"/>
        </w:rPr>
        <w:t xml:space="preserve"> s.m.i.</w:t>
      </w:r>
      <w:r w:rsidR="00BC554F" w:rsidRPr="008B26C0">
        <w:rPr>
          <w:sz w:val="22"/>
          <w:szCs w:val="22"/>
        </w:rPr>
        <w:t>:</w:t>
      </w:r>
    </w:p>
    <w:p w14:paraId="7B2CB8FD" w14:textId="77777777" w:rsidR="00AA702E" w:rsidRPr="008B26C0" w:rsidRDefault="00AA702E" w:rsidP="00CD2796">
      <w:pPr>
        <w:pStyle w:val="Testonotaapidipagina"/>
        <w:jc w:val="both"/>
        <w:rPr>
          <w:sz w:val="22"/>
          <w:szCs w:val="22"/>
        </w:rPr>
      </w:pPr>
    </w:p>
    <w:p w14:paraId="7DC1C10F" w14:textId="77777777" w:rsidR="00063A9A" w:rsidRPr="00063A9A" w:rsidRDefault="00063A9A" w:rsidP="00063A9A">
      <w:pPr>
        <w:pStyle w:val="Testonotaapidipagina"/>
        <w:ind w:left="284" w:right="566"/>
        <w:jc w:val="both"/>
        <w:rPr>
          <w:i/>
          <w:iCs/>
          <w:sz w:val="22"/>
          <w:szCs w:val="22"/>
        </w:rPr>
      </w:pPr>
      <w:r>
        <w:rPr>
          <w:i/>
          <w:iCs/>
          <w:sz w:val="22"/>
          <w:szCs w:val="22"/>
        </w:rPr>
        <w:t>“</w:t>
      </w:r>
      <w:r w:rsidRPr="00063A9A">
        <w:rPr>
          <w:i/>
          <w:iCs/>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D186619"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della legge n. 55 del 2019, fino al 31 dicembre 2020, il subappaltatore non deve essere indicato in fase di gara)</w:t>
      </w:r>
    </w:p>
    <w:p w14:paraId="7C11741E" w14:textId="77777777" w:rsidR="00063A9A" w:rsidRPr="00063A9A" w:rsidRDefault="00063A9A" w:rsidP="00063A9A">
      <w:pPr>
        <w:pStyle w:val="Testonotaapidipagina"/>
        <w:ind w:left="284" w:right="566"/>
        <w:jc w:val="both"/>
        <w:rPr>
          <w:i/>
          <w:iCs/>
          <w:sz w:val="22"/>
          <w:szCs w:val="22"/>
        </w:rPr>
      </w:pPr>
      <w:r w:rsidRPr="00063A9A">
        <w:rPr>
          <w:i/>
          <w:iCs/>
          <w:sz w:val="22"/>
          <w:szCs w:val="22"/>
        </w:rP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14:paraId="44A09517" w14:textId="77777777" w:rsidR="00063A9A" w:rsidRPr="00063A9A" w:rsidRDefault="00063A9A" w:rsidP="00063A9A">
      <w:pPr>
        <w:pStyle w:val="Testonotaapidipagina"/>
        <w:ind w:left="284" w:right="566"/>
        <w:jc w:val="both"/>
        <w:rPr>
          <w:i/>
          <w:iCs/>
          <w:sz w:val="22"/>
          <w:szCs w:val="22"/>
        </w:rPr>
      </w:pPr>
    </w:p>
    <w:p w14:paraId="5F84664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55574B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delitti, consumati o tentati, di cui agli articoli 317, 318, 319, 319-ter, 319-quater, 320, 321, 322, 322-bis, 346-bis, 353, 353-bis, 354, 355 e 356 del codice penale nonché all’articolo 2635 del codice civile;</w:t>
      </w:r>
    </w:p>
    <w:p w14:paraId="6A6C253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b-bis) false comunicazioni sociali di cui agli articoli 2621 e 2622 del codice civile;</w:t>
      </w:r>
    </w:p>
    <w:p w14:paraId="51DB9AFF"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frode ai sensi dell'articolo 1 della convenzione relativa alla tutela degli interessi finanziari delle Comunità europee;</w:t>
      </w:r>
    </w:p>
    <w:p w14:paraId="70D60C7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delitti, consumati o tentati, commessi con finalità di terrorismo, anche internazionale, e di eversione dell'ordine costituzionale reati terroristici o reati connessi alle attività terroristiche;</w:t>
      </w:r>
    </w:p>
    <w:p w14:paraId="5EA822C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14:paraId="734B943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sfruttamento del lavoro minorile e altre forme di tratta di esseri umani definite con il decreto legislativo 4 marzo 2014, n. 24;</w:t>
      </w:r>
    </w:p>
    <w:p w14:paraId="358122D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ogni altro delitto da cui derivi, quale pena accessoria, l'incapacità di contrattare con la pubblica amministrazione.</w:t>
      </w:r>
    </w:p>
    <w:p w14:paraId="3621B86B" w14:textId="77777777" w:rsidR="00063A9A" w:rsidRPr="00063A9A" w:rsidRDefault="00063A9A" w:rsidP="00063A9A">
      <w:pPr>
        <w:pStyle w:val="Testonotaapidipagina"/>
        <w:ind w:left="284" w:right="566"/>
        <w:jc w:val="both"/>
        <w:rPr>
          <w:i/>
          <w:iCs/>
          <w:sz w:val="22"/>
          <w:szCs w:val="22"/>
        </w:rPr>
      </w:pPr>
    </w:p>
    <w:p w14:paraId="46ACAA73" w14:textId="77777777" w:rsidR="00063A9A" w:rsidRPr="00063A9A" w:rsidRDefault="00063A9A" w:rsidP="00063A9A">
      <w:pPr>
        <w:pStyle w:val="Testonotaapidipagina"/>
        <w:ind w:left="284" w:right="566"/>
        <w:jc w:val="both"/>
        <w:rPr>
          <w:i/>
          <w:iCs/>
          <w:sz w:val="22"/>
          <w:szCs w:val="22"/>
        </w:rPr>
      </w:pPr>
      <w:r w:rsidRPr="00063A9A">
        <w:rPr>
          <w:i/>
          <w:iCs/>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913E5DA"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3B65C180" w14:textId="77777777" w:rsidR="00063A9A" w:rsidRPr="00063A9A" w:rsidRDefault="00063A9A" w:rsidP="00063A9A">
      <w:pPr>
        <w:pStyle w:val="Testonotaapidipagina"/>
        <w:ind w:left="284" w:right="566"/>
        <w:jc w:val="both"/>
        <w:rPr>
          <w:i/>
          <w:iCs/>
          <w:sz w:val="22"/>
          <w:szCs w:val="22"/>
        </w:rPr>
      </w:pPr>
    </w:p>
    <w:p w14:paraId="49BD1527" w14:textId="77777777" w:rsidR="00063A9A" w:rsidRPr="00063A9A" w:rsidRDefault="00063A9A" w:rsidP="00063A9A">
      <w:pPr>
        <w:pStyle w:val="Testonotaapidipagina"/>
        <w:ind w:left="284" w:right="566"/>
        <w:jc w:val="both"/>
        <w:rPr>
          <w:i/>
          <w:iCs/>
          <w:sz w:val="22"/>
          <w:szCs w:val="22"/>
        </w:rPr>
      </w:pPr>
      <w:r w:rsidRPr="00063A9A">
        <w:rPr>
          <w:i/>
          <w:iCs/>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E16835"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6367C0CC" w14:textId="0D8A98C7" w:rsidR="00063A9A" w:rsidRDefault="00063A9A" w:rsidP="00063A9A">
      <w:pPr>
        <w:pStyle w:val="Testonotaapidipagina"/>
        <w:ind w:left="284" w:right="566"/>
        <w:jc w:val="both"/>
        <w:rPr>
          <w:i/>
          <w:iCs/>
          <w:sz w:val="22"/>
          <w:szCs w:val="22"/>
        </w:rPr>
      </w:pPr>
    </w:p>
    <w:p w14:paraId="08822467" w14:textId="77777777" w:rsidR="00B34C80" w:rsidRPr="00B34C80" w:rsidRDefault="00B34C80" w:rsidP="00B34C80">
      <w:pPr>
        <w:pStyle w:val="Testonotaapidipagina"/>
        <w:ind w:left="284" w:right="566"/>
        <w:jc w:val="both"/>
        <w:rPr>
          <w:i/>
          <w:iCs/>
          <w:sz w:val="22"/>
          <w:szCs w:val="22"/>
        </w:rPr>
      </w:pPr>
      <w:r w:rsidRPr="00B34C80">
        <w:rPr>
          <w:i/>
          <w:iCs/>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contributiva e previdenziale s’intendono quelle di cui al quarto periodo.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1913D1A1" w14:textId="03BB4A01" w:rsidR="00B34C80" w:rsidRDefault="00B34C80" w:rsidP="00B34C80">
      <w:pPr>
        <w:pStyle w:val="Testonotaapidipagina"/>
        <w:ind w:left="284" w:right="566"/>
        <w:jc w:val="both"/>
        <w:rPr>
          <w:i/>
          <w:iCs/>
          <w:sz w:val="22"/>
          <w:szCs w:val="22"/>
        </w:rPr>
      </w:pPr>
      <w:r w:rsidRPr="00B34C80">
        <w:rPr>
          <w:i/>
          <w:iCs/>
          <w:sz w:val="22"/>
          <w:szCs w:val="22"/>
        </w:rPr>
        <w:t>(comma modificato dall'art. 8, comma 5, lettera b), della legge n. 120 del 2020, poi dall'art. 10, comma 1, della legge n. 238 del 2021)</w:t>
      </w:r>
    </w:p>
    <w:p w14:paraId="2F4D9A94" w14:textId="77777777" w:rsidR="00B34C80" w:rsidRPr="00063A9A" w:rsidRDefault="00B34C80" w:rsidP="00063A9A">
      <w:pPr>
        <w:pStyle w:val="Testonotaapidipagina"/>
        <w:ind w:left="284" w:right="566"/>
        <w:jc w:val="both"/>
        <w:rPr>
          <w:i/>
          <w:iCs/>
          <w:sz w:val="22"/>
          <w:szCs w:val="22"/>
        </w:rPr>
      </w:pPr>
    </w:p>
    <w:p w14:paraId="719F8C94" w14:textId="77777777" w:rsidR="00063A9A" w:rsidRPr="00063A9A" w:rsidRDefault="00063A9A" w:rsidP="00063A9A">
      <w:pPr>
        <w:pStyle w:val="Testonotaapidipagina"/>
        <w:ind w:left="284" w:right="566"/>
        <w:jc w:val="both"/>
        <w:rPr>
          <w:i/>
          <w:iCs/>
          <w:sz w:val="22"/>
          <w:szCs w:val="22"/>
        </w:rPr>
      </w:pPr>
      <w:r w:rsidRPr="00063A9A">
        <w:rPr>
          <w:i/>
          <w:iCs/>
          <w:sz w:val="22"/>
          <w:szCs w:val="22"/>
        </w:rPr>
        <w:t>5. Le stazioni appaltanti escludono dalla partecipazione alla procedura d'appalto un operatore economico in una delle seguenti situazioni, anche riferita a un suo subappaltatore nei casi di cui all'articolo 105, comma 6 qualora:</w:t>
      </w:r>
    </w:p>
    <w:p w14:paraId="10E10686"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 decreto sblocca-cantieri, fino al 31 dicembre 2020, il subappaltatore non deve essere indicato in fase di gara)</w:t>
      </w:r>
    </w:p>
    <w:p w14:paraId="23C406CB" w14:textId="77777777" w:rsidR="00063A9A" w:rsidRPr="00063A9A" w:rsidRDefault="00063A9A" w:rsidP="00063A9A">
      <w:pPr>
        <w:pStyle w:val="Testonotaapidipagina"/>
        <w:ind w:left="284" w:right="566"/>
        <w:jc w:val="both"/>
        <w:rPr>
          <w:i/>
          <w:iCs/>
          <w:sz w:val="22"/>
          <w:szCs w:val="22"/>
        </w:rPr>
      </w:pPr>
    </w:p>
    <w:p w14:paraId="3245517E"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14:paraId="28542E0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4075D76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1, comma 20, lett. o), della legge n. 55 del 2019)</w:t>
      </w:r>
    </w:p>
    <w:p w14:paraId="03D52146" w14:textId="77777777" w:rsidR="00063A9A" w:rsidRPr="00063A9A" w:rsidRDefault="00063A9A" w:rsidP="00063A9A">
      <w:pPr>
        <w:pStyle w:val="Testonotaapidipagina"/>
        <w:ind w:left="284" w:right="566"/>
        <w:jc w:val="both"/>
        <w:rPr>
          <w:i/>
          <w:iCs/>
          <w:sz w:val="22"/>
          <w:szCs w:val="22"/>
        </w:rPr>
      </w:pPr>
    </w:p>
    <w:p w14:paraId="226A3D4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p>
    <w:p w14:paraId="60BD347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372, comma 1, del decreto legislativo n. 14 del 2019 a partire dal 1° settembre 2021)</w:t>
      </w:r>
    </w:p>
    <w:p w14:paraId="5591AB9D" w14:textId="77777777" w:rsidR="00063A9A" w:rsidRPr="00063A9A" w:rsidRDefault="00063A9A" w:rsidP="00063A9A">
      <w:pPr>
        <w:pStyle w:val="Testonotaapidipagina"/>
        <w:ind w:left="284" w:right="566"/>
        <w:jc w:val="both"/>
        <w:rPr>
          <w:i/>
          <w:iCs/>
          <w:sz w:val="22"/>
          <w:szCs w:val="22"/>
        </w:rPr>
      </w:pPr>
    </w:p>
    <w:p w14:paraId="50719AB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la stazione appaltante dimostri con mezzi adeguati che l'operatore economico si è reso colpevole di gravi illeciti professionali, tali da rendere dubbia la sua integrità o affidabilità;</w:t>
      </w:r>
    </w:p>
    <w:p w14:paraId="314897C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48F268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6A3E392" w14:textId="77777777" w:rsidR="00063A9A" w:rsidRPr="00063A9A" w:rsidRDefault="00063A9A" w:rsidP="00063A9A">
      <w:pPr>
        <w:pStyle w:val="Testonotaapidipagina"/>
        <w:ind w:left="284" w:right="566"/>
        <w:jc w:val="both"/>
        <w:rPr>
          <w:i/>
          <w:iCs/>
          <w:sz w:val="22"/>
          <w:szCs w:val="22"/>
        </w:rPr>
      </w:pPr>
    </w:p>
    <w:p w14:paraId="285E02A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 sostituita dalle lettere c), c-bis) e c-ter) dall'art. 5 del decreto-legge n. 135 del 2018, convertito nella legge n. 12 del 2019)</w:t>
      </w:r>
    </w:p>
    <w:p w14:paraId="399967E3" w14:textId="77777777" w:rsidR="00063A9A" w:rsidRPr="00063A9A" w:rsidRDefault="00063A9A" w:rsidP="00063A9A">
      <w:pPr>
        <w:pStyle w:val="Testonotaapidipagina"/>
        <w:ind w:left="284" w:right="566"/>
        <w:jc w:val="both"/>
        <w:rPr>
          <w:i/>
          <w:iCs/>
          <w:sz w:val="22"/>
          <w:szCs w:val="22"/>
        </w:rPr>
      </w:pPr>
    </w:p>
    <w:p w14:paraId="4D333C6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c-quater) l’operatore economico abbia commesso grave inadempimento nei confronti di uno o più subappaltatori, riconosciuto o accertato con sentenza passata in giudicato;</w:t>
      </w:r>
    </w:p>
    <w:p w14:paraId="41A19D4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(si vedano le Linee guida n. 6 di ANAC)</w:t>
      </w:r>
    </w:p>
    <w:p w14:paraId="701A8BE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introdotta dall'art. 1, comma 20, lettera o), della legge n. 55 del 2019)</w:t>
      </w:r>
    </w:p>
    <w:p w14:paraId="4576B73F" w14:textId="77777777" w:rsidR="00063A9A" w:rsidRPr="00063A9A" w:rsidRDefault="00063A9A" w:rsidP="00063A9A">
      <w:pPr>
        <w:pStyle w:val="Testonotaapidipagina"/>
        <w:ind w:left="284" w:right="566"/>
        <w:jc w:val="both"/>
        <w:rPr>
          <w:i/>
          <w:iCs/>
          <w:sz w:val="22"/>
          <w:szCs w:val="22"/>
        </w:rPr>
      </w:pPr>
    </w:p>
    <w:p w14:paraId="7660D5E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la partecipazione dell'operatore economico determini una situazione di conflitto di interesse ai sensi dell'articolo 42, comma 2, non diversamente risolvibile;</w:t>
      </w:r>
    </w:p>
    <w:p w14:paraId="7BFB264E" w14:textId="77777777" w:rsidR="00063A9A" w:rsidRPr="00063A9A" w:rsidRDefault="00063A9A" w:rsidP="00063A9A">
      <w:pPr>
        <w:pStyle w:val="Testonotaapidipagina"/>
        <w:ind w:left="284" w:right="566"/>
        <w:jc w:val="both"/>
        <w:rPr>
          <w:i/>
          <w:iCs/>
          <w:sz w:val="22"/>
          <w:szCs w:val="22"/>
        </w:rPr>
      </w:pPr>
    </w:p>
    <w:p w14:paraId="6CF9767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una distorsione della concorrenza derivante dal precedente coinvolgimento degli operatori economici nella preparazione della procedura d'appalto di cui all'articolo 67 non possa essere risolta con misure meno intrusive;</w:t>
      </w:r>
    </w:p>
    <w:p w14:paraId="3941D3D9" w14:textId="77777777" w:rsidR="00063A9A" w:rsidRPr="00063A9A" w:rsidRDefault="00063A9A" w:rsidP="00063A9A">
      <w:pPr>
        <w:pStyle w:val="Testonotaapidipagina"/>
        <w:ind w:left="284" w:right="566"/>
        <w:jc w:val="both"/>
        <w:rPr>
          <w:i/>
          <w:iCs/>
          <w:sz w:val="22"/>
          <w:szCs w:val="22"/>
        </w:rPr>
      </w:pPr>
    </w:p>
    <w:p w14:paraId="2D68FCF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FBDF829"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f-bis) l’operatore economico che presenti nella procedura di gara in corso e negli affidamenti di subappalti documentazione o dichiarazioni non veritiere;</w:t>
      </w:r>
    </w:p>
    <w:p w14:paraId="25E601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3D86071" w14:textId="77777777" w:rsidR="00063A9A" w:rsidRPr="00063A9A" w:rsidRDefault="00063A9A" w:rsidP="00063A9A">
      <w:pPr>
        <w:pStyle w:val="Testonotaapidipagina"/>
        <w:ind w:left="284" w:right="566"/>
        <w:jc w:val="both"/>
        <w:rPr>
          <w:i/>
          <w:iCs/>
          <w:sz w:val="22"/>
          <w:szCs w:val="22"/>
        </w:rPr>
      </w:pPr>
    </w:p>
    <w:p w14:paraId="1EF88D5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0523418" w14:textId="77777777" w:rsidR="00063A9A" w:rsidRPr="00063A9A" w:rsidRDefault="00063A9A" w:rsidP="00063A9A">
      <w:pPr>
        <w:pStyle w:val="Testonotaapidipagina"/>
        <w:ind w:left="284" w:right="566"/>
        <w:jc w:val="both"/>
        <w:rPr>
          <w:i/>
          <w:iCs/>
          <w:sz w:val="22"/>
          <w:szCs w:val="22"/>
        </w:rPr>
      </w:pPr>
    </w:p>
    <w:p w14:paraId="2CA5442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5B335D6F" w14:textId="77777777" w:rsidR="00063A9A" w:rsidRPr="00063A9A" w:rsidRDefault="00063A9A" w:rsidP="00063A9A">
      <w:pPr>
        <w:pStyle w:val="Testonotaapidipagina"/>
        <w:ind w:left="284" w:right="566"/>
        <w:jc w:val="both"/>
        <w:rPr>
          <w:i/>
          <w:iCs/>
          <w:sz w:val="22"/>
          <w:szCs w:val="22"/>
        </w:rPr>
      </w:pPr>
    </w:p>
    <w:p w14:paraId="5C94550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i) l'operatore economico non presenti la certificazione di cui all'articolo 17 della legge 12 marzo 1999, n. 68, ovvero non autocertifichi la sussistenza del medesimo requisito;</w:t>
      </w:r>
    </w:p>
    <w:p w14:paraId="418F9283" w14:textId="77777777" w:rsidR="00063A9A" w:rsidRPr="00063A9A" w:rsidRDefault="00063A9A" w:rsidP="00063A9A">
      <w:pPr>
        <w:pStyle w:val="Testonotaapidipagina"/>
        <w:ind w:left="284" w:right="566"/>
        <w:jc w:val="both"/>
        <w:rPr>
          <w:i/>
          <w:iCs/>
          <w:sz w:val="22"/>
          <w:szCs w:val="22"/>
        </w:rPr>
      </w:pPr>
    </w:p>
    <w:p w14:paraId="3BF48DA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FEBD069" w14:textId="77777777" w:rsidR="00063A9A" w:rsidRPr="00063A9A" w:rsidRDefault="00063A9A" w:rsidP="00063A9A">
      <w:pPr>
        <w:pStyle w:val="Testonotaapidipagina"/>
        <w:ind w:left="284" w:right="566"/>
        <w:jc w:val="both"/>
        <w:rPr>
          <w:i/>
          <w:iCs/>
          <w:sz w:val="22"/>
          <w:szCs w:val="22"/>
        </w:rPr>
      </w:pPr>
    </w:p>
    <w:p w14:paraId="04A7063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16A63D0E" w14:textId="77777777" w:rsidR="00063A9A" w:rsidRPr="00063A9A" w:rsidRDefault="00063A9A" w:rsidP="00063A9A">
      <w:pPr>
        <w:pStyle w:val="Testonotaapidipagina"/>
        <w:ind w:left="284" w:right="566"/>
        <w:jc w:val="both"/>
        <w:rPr>
          <w:i/>
          <w:iCs/>
          <w:sz w:val="22"/>
          <w:szCs w:val="22"/>
        </w:rPr>
      </w:pPr>
    </w:p>
    <w:p w14:paraId="02810A19" w14:textId="77777777" w:rsidR="00063A9A" w:rsidRPr="00063A9A" w:rsidRDefault="00063A9A" w:rsidP="00063A9A">
      <w:pPr>
        <w:pStyle w:val="Testonotaapidipagina"/>
        <w:ind w:left="284" w:right="566"/>
        <w:jc w:val="both"/>
        <w:rPr>
          <w:i/>
          <w:iCs/>
          <w:sz w:val="22"/>
          <w:szCs w:val="22"/>
        </w:rPr>
      </w:pPr>
      <w:r w:rsidRPr="00063A9A">
        <w:rPr>
          <w:i/>
          <w:iCs/>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2B6D038D" w14:textId="77777777" w:rsidR="00063A9A" w:rsidRDefault="00063A9A" w:rsidP="00063A9A">
      <w:pPr>
        <w:pStyle w:val="Testonotaapidipagina"/>
        <w:ind w:left="284" w:right="566"/>
        <w:jc w:val="both"/>
        <w:rPr>
          <w:iCs/>
          <w:color w:val="FF0000"/>
          <w:sz w:val="22"/>
          <w:szCs w:val="22"/>
        </w:rPr>
      </w:pPr>
    </w:p>
    <w:p w14:paraId="102E00FC" w14:textId="77777777" w:rsidR="00063A9A" w:rsidRDefault="00063A9A" w:rsidP="00063A9A">
      <w:pPr>
        <w:pStyle w:val="Testonotaapidipagina"/>
        <w:ind w:left="284" w:right="566"/>
        <w:jc w:val="both"/>
        <w:rPr>
          <w:iCs/>
          <w:color w:val="FF0000"/>
          <w:sz w:val="22"/>
          <w:szCs w:val="22"/>
        </w:rPr>
      </w:pPr>
    </w:p>
    <w:p w14:paraId="4FE875F9" w14:textId="77777777" w:rsidR="00063A9A" w:rsidRDefault="00063A9A" w:rsidP="00063A9A">
      <w:pPr>
        <w:pStyle w:val="Testonotaapidipagina"/>
        <w:ind w:left="284" w:right="566"/>
        <w:jc w:val="both"/>
        <w:rPr>
          <w:iCs/>
          <w:color w:val="FF0000"/>
          <w:sz w:val="22"/>
          <w:szCs w:val="22"/>
        </w:rPr>
      </w:pPr>
    </w:p>
    <w:p w14:paraId="2402B4AA" w14:textId="77777777" w:rsidR="002021B2" w:rsidRPr="00F765FD" w:rsidRDefault="002021B2" w:rsidP="00063A9A">
      <w:pPr>
        <w:pStyle w:val="Testonotaapidipagina"/>
        <w:ind w:left="284" w:right="566"/>
        <w:jc w:val="both"/>
        <w:rPr>
          <w:i/>
          <w:sz w:val="22"/>
          <w:szCs w:val="22"/>
        </w:rPr>
      </w:pPr>
    </w:p>
    <w:p w14:paraId="16D9A41E" w14:textId="77777777" w:rsidR="002021B2" w:rsidRPr="00F765FD" w:rsidRDefault="002021B2" w:rsidP="00603EF6">
      <w:pPr>
        <w:pStyle w:val="Testonotaapidipagina"/>
        <w:ind w:left="284" w:right="566"/>
        <w:jc w:val="both"/>
        <w:rPr>
          <w:i/>
          <w:sz w:val="22"/>
          <w:szCs w:val="22"/>
        </w:rPr>
      </w:pPr>
    </w:p>
    <w:p w14:paraId="3679DBE1" w14:textId="77777777" w:rsidR="00AA702E" w:rsidRPr="00F765FD" w:rsidRDefault="00AA702E" w:rsidP="00F765FD">
      <w:pPr>
        <w:pStyle w:val="Testonotaapidipagina"/>
        <w:ind w:left="284" w:right="566"/>
        <w:jc w:val="both"/>
        <w:rPr>
          <w:i/>
          <w:sz w:val="22"/>
          <w:szCs w:val="22"/>
        </w:rPr>
      </w:pPr>
    </w:p>
  </w:footnote>
  <w:footnote w:id="2">
    <w:p w14:paraId="7BF51D6D" w14:textId="77777777" w:rsidR="00B643D5" w:rsidRPr="00B643D5" w:rsidRDefault="00B643D5" w:rsidP="00B643D5">
      <w:pPr>
        <w:pStyle w:val="Testonotaapidipagina"/>
        <w:rPr>
          <w:sz w:val="22"/>
          <w:szCs w:val="22"/>
        </w:rPr>
      </w:pPr>
      <w:r w:rsidRPr="00B643D5">
        <w:rPr>
          <w:rStyle w:val="Rimandonotaapidipagina"/>
          <w:sz w:val="22"/>
          <w:szCs w:val="22"/>
        </w:rPr>
        <w:footnoteRef/>
      </w:r>
      <w:r w:rsidRPr="00B643D5">
        <w:rPr>
          <w:sz w:val="22"/>
          <w:szCs w:val="22"/>
        </w:rPr>
        <w:t xml:space="preserve"> </w:t>
      </w:r>
      <w:r w:rsidRPr="007562D3">
        <w:rPr>
          <w:b/>
          <w:sz w:val="22"/>
          <w:szCs w:val="22"/>
        </w:rPr>
        <w:t>L’art. 24, comma 1 del d</w:t>
      </w:r>
      <w:r w:rsidR="00241D42" w:rsidRPr="007562D3">
        <w:rPr>
          <w:b/>
          <w:sz w:val="22"/>
          <w:szCs w:val="22"/>
        </w:rPr>
        <w:t>pr 313/2002 come modificato dal d</w:t>
      </w:r>
      <w:r w:rsidRPr="007562D3">
        <w:rPr>
          <w:b/>
          <w:sz w:val="22"/>
          <w:szCs w:val="22"/>
        </w:rPr>
        <w:t>.lgs. n. 122 del 2018 dispone</w:t>
      </w:r>
      <w:r w:rsidRPr="00B643D5">
        <w:rPr>
          <w:sz w:val="22"/>
          <w:szCs w:val="22"/>
        </w:rPr>
        <w:t>:</w:t>
      </w:r>
    </w:p>
    <w:p w14:paraId="0576E4E0" w14:textId="77777777" w:rsidR="00B643D5" w:rsidRPr="00B643D5" w:rsidRDefault="00B643D5" w:rsidP="00B643D5">
      <w:pPr>
        <w:pStyle w:val="Testonotaapidipagina"/>
        <w:ind w:left="284" w:right="566"/>
        <w:jc w:val="both"/>
        <w:rPr>
          <w:i/>
          <w:sz w:val="22"/>
          <w:szCs w:val="22"/>
        </w:rPr>
      </w:pPr>
      <w:r w:rsidRPr="00B643D5">
        <w:rPr>
          <w:i/>
          <w:sz w:val="22"/>
          <w:szCs w:val="22"/>
        </w:rPr>
        <w:t>“1. Nel certificato sono riportate le iscrizioni esistenti nel casellario giudiziale ad eccezione di quelle relative:</w:t>
      </w:r>
    </w:p>
    <w:p w14:paraId="3D3705A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a) alle condanne delle quali è stato ordinato che non si faccia menzione nel certificato a norma dell'articolo 175 del codice penale, purché il beneficio non sia stato revocato;</w:t>
      </w:r>
    </w:p>
    <w:p w14:paraId="02E155F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b) alle condanne per contravvenzioni punibili con la sola ammenda e alle condanne per reati estinti a norma dell'articolo 167, primo comma, del codice penale;</w:t>
      </w:r>
    </w:p>
    <w:p w14:paraId="19AC1E0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c) alle condanne per i reati per i quali si è verificata la causa speciale di estinzione prevista dall'articolo 556 del codice penale;</w:t>
      </w:r>
    </w:p>
    <w:p w14:paraId="7B08D3F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d) alle condanne in relazione alle quali è stata definitivamente applicata l'amnistia e a quelle per le quali è stata dichiarata la riabilitazione, senza che questa sia stata in seguito revocata;</w:t>
      </w:r>
    </w:p>
    <w:p w14:paraId="1CB8073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e) ai provvedimenti previsti dall'articolo 445 del codice di procedura penale, quando la pena irrogata non superi i due anni di pena detentiva soli o congiunti a pena pecuniaria, e ai decreti penali;</w:t>
      </w:r>
    </w:p>
    <w:p w14:paraId="5AF99F3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così modificata dall'art. 4 del d.lgs. n. 122 del 2018)</w:t>
      </w:r>
    </w:p>
    <w:p w14:paraId="355E2A2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 alle condanne per fatti che la legge ha cessato di considerare come reati, quando la relativa iscrizione non è stata eliminata;</w:t>
      </w:r>
    </w:p>
    <w:p w14:paraId="78849300"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f-bis) ai provvedimenti giudiziari che hanno dichiarato la non punibilità ai sensi dell'articolo 131-bis del codice penale, quando la relativa iscrizione non è stata eliminata;</w:t>
      </w:r>
    </w:p>
    <w:p w14:paraId="11086FF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28 del 2015)</w:t>
      </w:r>
    </w:p>
    <w:p w14:paraId="0BBC586F"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g) ai provvedimenti riguardanti misure di sicurezza conseguenti a sentenze di proscioglimento o di non luogo a procedere, quando le misure sono state revocate;</w:t>
      </w:r>
    </w:p>
    <w:p w14:paraId="53995DE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h) ai provvedimenti che riguardano l'applicazione delle misure di prevenzione della sorveglianza speciale semplice o con divieto o obbligo di soggiorno;</w:t>
      </w:r>
    </w:p>
    <w:p w14:paraId="3DB48757"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i) ai provvedimenti giudiziari emessi dal giudice di pace;</w:t>
      </w:r>
    </w:p>
    <w:p w14:paraId="51B8EA5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 ai provvedimenti giudiziari relativi ai reati di competenza del giudice di pace emessi da un giudice diverso, limitatamente alle iscrizioni concernenti questi reati;</w:t>
      </w:r>
    </w:p>
    <w:p w14:paraId="3E02443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 ai provvedimenti di interdizione, di inabilitazione e relativi all'amministrazione di sostegno, quando esse sono state revocate;</w:t>
      </w:r>
    </w:p>
    <w:p w14:paraId="77FF2E64"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m-bis) ai provvedimenti che ai sensi dell'articolo 464-quater del codice di procedura penale dispongono la sospensione del procedimento con messa alla prova;</w:t>
      </w:r>
    </w:p>
    <w:p w14:paraId="13A3B8A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122 del 2018)</w:t>
      </w:r>
    </w:p>
    <w:p w14:paraId="0AF0928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m-ter) alle sentenze che ai sensi dell'articolo 464-septies del codice di procedura penale dichiarano estinto il reato per esito </w:t>
      </w:r>
      <w:r w:rsidR="00397F15">
        <w:rPr>
          <w:i/>
          <w:sz w:val="22"/>
          <w:szCs w:val="22"/>
        </w:rPr>
        <w:t>positivo della messa alla prova.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88"/>
    <w:rsid w:val="000025EF"/>
    <w:rsid w:val="00004F38"/>
    <w:rsid w:val="0004063E"/>
    <w:rsid w:val="000456BC"/>
    <w:rsid w:val="00052454"/>
    <w:rsid w:val="00054F15"/>
    <w:rsid w:val="00063A9A"/>
    <w:rsid w:val="00073090"/>
    <w:rsid w:val="0009102C"/>
    <w:rsid w:val="000B26E7"/>
    <w:rsid w:val="000C6830"/>
    <w:rsid w:val="000D4614"/>
    <w:rsid w:val="000E24D9"/>
    <w:rsid w:val="00157FA6"/>
    <w:rsid w:val="00161D72"/>
    <w:rsid w:val="00167F92"/>
    <w:rsid w:val="001A5418"/>
    <w:rsid w:val="001D0C14"/>
    <w:rsid w:val="001E579F"/>
    <w:rsid w:val="00201422"/>
    <w:rsid w:val="002021B2"/>
    <w:rsid w:val="00221529"/>
    <w:rsid w:val="00241D42"/>
    <w:rsid w:val="00244553"/>
    <w:rsid w:val="002504C5"/>
    <w:rsid w:val="002925C8"/>
    <w:rsid w:val="00292923"/>
    <w:rsid w:val="002C53DF"/>
    <w:rsid w:val="002D36BD"/>
    <w:rsid w:val="0031638C"/>
    <w:rsid w:val="00335EE1"/>
    <w:rsid w:val="003479CA"/>
    <w:rsid w:val="00375BCF"/>
    <w:rsid w:val="0038781E"/>
    <w:rsid w:val="00390775"/>
    <w:rsid w:val="00397F15"/>
    <w:rsid w:val="003A2011"/>
    <w:rsid w:val="003A44B3"/>
    <w:rsid w:val="003C32FE"/>
    <w:rsid w:val="003E3634"/>
    <w:rsid w:val="003E75B7"/>
    <w:rsid w:val="004124C0"/>
    <w:rsid w:val="00417C8B"/>
    <w:rsid w:val="00444798"/>
    <w:rsid w:val="00444FC1"/>
    <w:rsid w:val="004472F9"/>
    <w:rsid w:val="0046493A"/>
    <w:rsid w:val="004D130E"/>
    <w:rsid w:val="004E60D2"/>
    <w:rsid w:val="005505D6"/>
    <w:rsid w:val="00587B63"/>
    <w:rsid w:val="005B5813"/>
    <w:rsid w:val="005C3057"/>
    <w:rsid w:val="005C58A4"/>
    <w:rsid w:val="005C639A"/>
    <w:rsid w:val="005E3D8E"/>
    <w:rsid w:val="005E4A33"/>
    <w:rsid w:val="00603EF6"/>
    <w:rsid w:val="00605E78"/>
    <w:rsid w:val="006109F9"/>
    <w:rsid w:val="006138E8"/>
    <w:rsid w:val="0067287D"/>
    <w:rsid w:val="0069785F"/>
    <w:rsid w:val="006D5780"/>
    <w:rsid w:val="006E68ED"/>
    <w:rsid w:val="007414CB"/>
    <w:rsid w:val="007444C8"/>
    <w:rsid w:val="007448D7"/>
    <w:rsid w:val="0074629D"/>
    <w:rsid w:val="007562D3"/>
    <w:rsid w:val="00790550"/>
    <w:rsid w:val="007B0349"/>
    <w:rsid w:val="007C6922"/>
    <w:rsid w:val="007E1A89"/>
    <w:rsid w:val="0081305F"/>
    <w:rsid w:val="00820487"/>
    <w:rsid w:val="00844461"/>
    <w:rsid w:val="00847D2B"/>
    <w:rsid w:val="00887177"/>
    <w:rsid w:val="008A026E"/>
    <w:rsid w:val="008B26C0"/>
    <w:rsid w:val="008F4288"/>
    <w:rsid w:val="00913EAA"/>
    <w:rsid w:val="009226CC"/>
    <w:rsid w:val="00933633"/>
    <w:rsid w:val="009437F1"/>
    <w:rsid w:val="009460B4"/>
    <w:rsid w:val="00951193"/>
    <w:rsid w:val="00963FF2"/>
    <w:rsid w:val="00964AA1"/>
    <w:rsid w:val="009930D3"/>
    <w:rsid w:val="009B1F32"/>
    <w:rsid w:val="009C46C2"/>
    <w:rsid w:val="009C4EEB"/>
    <w:rsid w:val="009F297F"/>
    <w:rsid w:val="009F3DDE"/>
    <w:rsid w:val="009F4939"/>
    <w:rsid w:val="00A15D09"/>
    <w:rsid w:val="00A21B76"/>
    <w:rsid w:val="00A52978"/>
    <w:rsid w:val="00A83879"/>
    <w:rsid w:val="00A95F9F"/>
    <w:rsid w:val="00AA30FC"/>
    <w:rsid w:val="00AA702E"/>
    <w:rsid w:val="00AC765D"/>
    <w:rsid w:val="00AD1554"/>
    <w:rsid w:val="00AD5D0C"/>
    <w:rsid w:val="00B02406"/>
    <w:rsid w:val="00B0490B"/>
    <w:rsid w:val="00B11A5B"/>
    <w:rsid w:val="00B34C80"/>
    <w:rsid w:val="00B6252C"/>
    <w:rsid w:val="00B643D5"/>
    <w:rsid w:val="00B9117A"/>
    <w:rsid w:val="00BA48A5"/>
    <w:rsid w:val="00BC554F"/>
    <w:rsid w:val="00BE61CD"/>
    <w:rsid w:val="00C135E3"/>
    <w:rsid w:val="00C13938"/>
    <w:rsid w:val="00C16B96"/>
    <w:rsid w:val="00C35630"/>
    <w:rsid w:val="00C532CA"/>
    <w:rsid w:val="00C93365"/>
    <w:rsid w:val="00C96A25"/>
    <w:rsid w:val="00CD2796"/>
    <w:rsid w:val="00CE593D"/>
    <w:rsid w:val="00CE64CD"/>
    <w:rsid w:val="00D14E69"/>
    <w:rsid w:val="00D51183"/>
    <w:rsid w:val="00D52E31"/>
    <w:rsid w:val="00D815DE"/>
    <w:rsid w:val="00D9064E"/>
    <w:rsid w:val="00DA5298"/>
    <w:rsid w:val="00DB79E0"/>
    <w:rsid w:val="00DC4B8C"/>
    <w:rsid w:val="00DF5568"/>
    <w:rsid w:val="00E11EBD"/>
    <w:rsid w:val="00E31087"/>
    <w:rsid w:val="00E32CDC"/>
    <w:rsid w:val="00E56D43"/>
    <w:rsid w:val="00E85CE8"/>
    <w:rsid w:val="00EA5BB3"/>
    <w:rsid w:val="00EC09EC"/>
    <w:rsid w:val="00F00E59"/>
    <w:rsid w:val="00F33A1E"/>
    <w:rsid w:val="00F765FD"/>
    <w:rsid w:val="00F86BDD"/>
    <w:rsid w:val="00FA6BA1"/>
    <w:rsid w:val="00FC29F3"/>
    <w:rsid w:val="00FC761F"/>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1430"/>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paragraph" w:styleId="Titolo3">
    <w:name w:val="heading 3"/>
    <w:basedOn w:val="Normale"/>
    <w:next w:val="Normale"/>
    <w:link w:val="Titolo3Carattere"/>
    <w:semiHidden/>
    <w:unhideWhenUsed/>
    <w:qFormat/>
    <w:locked/>
    <w:rsid w:val="00CE5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semiHidden/>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 w:type="character" w:customStyle="1" w:styleId="Titolo3Carattere">
    <w:name w:val="Titolo 3 Carattere"/>
    <w:basedOn w:val="Carpredefinitoparagrafo"/>
    <w:link w:val="Titolo3"/>
    <w:semiHidden/>
    <w:rsid w:val="00CE593D"/>
    <w:rPr>
      <w:rFonts w:asciiTheme="majorHAnsi" w:eastAsiaTheme="majorEastAsia" w:hAnsiTheme="majorHAnsi" w:cstheme="majorBidi"/>
      <w:color w:val="243F60" w:themeColor="accent1" w:themeShade="7F"/>
      <w:sz w:val="24"/>
      <w:szCs w:val="24"/>
      <w:lang w:eastAsia="it-IT"/>
    </w:rPr>
  </w:style>
  <w:style w:type="character" w:customStyle="1" w:styleId="linkgazzetta">
    <w:name w:val="link_gazzetta"/>
    <w:basedOn w:val="Carpredefinitoparagrafo"/>
    <w:rsid w:val="00CE593D"/>
  </w:style>
  <w:style w:type="paragraph" w:styleId="PreformattatoHTML">
    <w:name w:val="HTML Preformatted"/>
    <w:basedOn w:val="Normale"/>
    <w:link w:val="PreformattatoHTMLCarattere"/>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67F92"/>
    <w:rPr>
      <w:rFonts w:ascii="Courier New" w:eastAsia="Times New Roman" w:hAnsi="Courier New"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3674">
      <w:bodyDiv w:val="1"/>
      <w:marLeft w:val="0"/>
      <w:marRight w:val="0"/>
      <w:marTop w:val="0"/>
      <w:marBottom w:val="0"/>
      <w:divBdr>
        <w:top w:val="none" w:sz="0" w:space="0" w:color="auto"/>
        <w:left w:val="none" w:sz="0" w:space="0" w:color="auto"/>
        <w:bottom w:val="none" w:sz="0" w:space="0" w:color="auto"/>
        <w:right w:val="none" w:sz="0" w:space="0" w:color="auto"/>
      </w:divBdr>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4291">
      <w:bodyDiv w:val="1"/>
      <w:marLeft w:val="0"/>
      <w:marRight w:val="0"/>
      <w:marTop w:val="0"/>
      <w:marBottom w:val="0"/>
      <w:divBdr>
        <w:top w:val="none" w:sz="0" w:space="0" w:color="auto"/>
        <w:left w:val="none" w:sz="0" w:space="0" w:color="auto"/>
        <w:bottom w:val="none" w:sz="0" w:space="0" w:color="auto"/>
        <w:right w:val="none" w:sz="0" w:space="0" w:color="auto"/>
      </w:divBdr>
      <w:divsChild>
        <w:div w:id="945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952">
      <w:bodyDiv w:val="1"/>
      <w:marLeft w:val="0"/>
      <w:marRight w:val="0"/>
      <w:marTop w:val="0"/>
      <w:marBottom w:val="0"/>
      <w:divBdr>
        <w:top w:val="none" w:sz="0" w:space="0" w:color="auto"/>
        <w:left w:val="none" w:sz="0" w:space="0" w:color="auto"/>
        <w:bottom w:val="none" w:sz="0" w:space="0" w:color="auto"/>
        <w:right w:val="none" w:sz="0" w:space="0" w:color="auto"/>
      </w:divBdr>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854">
      <w:bodyDiv w:val="1"/>
      <w:marLeft w:val="0"/>
      <w:marRight w:val="0"/>
      <w:marTop w:val="0"/>
      <w:marBottom w:val="0"/>
      <w:divBdr>
        <w:top w:val="none" w:sz="0" w:space="0" w:color="auto"/>
        <w:left w:val="none" w:sz="0" w:space="0" w:color="auto"/>
        <w:bottom w:val="none" w:sz="0" w:space="0" w:color="auto"/>
        <w:right w:val="none" w:sz="0" w:space="0" w:color="auto"/>
      </w:divBdr>
    </w:div>
    <w:div w:id="1936982836">
      <w:bodyDiv w:val="1"/>
      <w:marLeft w:val="0"/>
      <w:marRight w:val="0"/>
      <w:marTop w:val="0"/>
      <w:marBottom w:val="0"/>
      <w:divBdr>
        <w:top w:val="none" w:sz="0" w:space="0" w:color="auto"/>
        <w:left w:val="none" w:sz="0" w:space="0" w:color="auto"/>
        <w:bottom w:val="none" w:sz="0" w:space="0" w:color="auto"/>
        <w:right w:val="none" w:sz="0" w:space="0" w:color="auto"/>
      </w:divBdr>
      <w:divsChild>
        <w:div w:id="106144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gu/2018/10/26/250/so/50/s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892D-E24C-40ED-BB4D-BB2FB742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919</Words>
  <Characters>5239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ASUS</cp:lastModifiedBy>
  <cp:revision>63</cp:revision>
  <dcterms:created xsi:type="dcterms:W3CDTF">2019-04-20T07:30:00Z</dcterms:created>
  <dcterms:modified xsi:type="dcterms:W3CDTF">2022-03-14T06:40:00Z</dcterms:modified>
</cp:coreProperties>
</file>